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CAFF9" w14:textId="77777777" w:rsidR="00D37260" w:rsidRDefault="00D37260"/>
    <w:p w14:paraId="0567AB2B" w14:textId="77777777" w:rsidR="00D37260" w:rsidRDefault="00D37260"/>
    <w:tbl>
      <w:tblPr>
        <w:tblStyle w:val="a4"/>
        <w:tblW w:w="9029" w:type="dxa"/>
        <w:jc w:val="center"/>
        <w:tblInd w:w="0" w:type="dxa"/>
        <w:tblLayout w:type="fixed"/>
        <w:tblLook w:val="0600" w:firstRow="0" w:lastRow="0" w:firstColumn="0" w:lastColumn="0" w:noHBand="1" w:noVBand="1"/>
      </w:tblPr>
      <w:tblGrid>
        <w:gridCol w:w="9029"/>
      </w:tblGrid>
      <w:tr w:rsidR="00D37260" w14:paraId="74977D16" w14:textId="77777777">
        <w:trPr>
          <w:jc w:val="center"/>
        </w:trPr>
        <w:tc>
          <w:tcPr>
            <w:tcW w:w="9029" w:type="dxa"/>
            <w:shd w:val="clear" w:color="auto" w:fill="auto"/>
          </w:tcPr>
          <w:p w14:paraId="751E3D93" w14:textId="77777777" w:rsidR="00D37260" w:rsidRDefault="00E5433B">
            <w:pPr>
              <w:jc w:val="center"/>
              <w:rPr>
                <w:sz w:val="28"/>
                <w:szCs w:val="28"/>
              </w:rPr>
            </w:pPr>
            <w:r>
              <w:rPr>
                <w:sz w:val="28"/>
                <w:szCs w:val="28"/>
              </w:rPr>
              <w:t>Gap semester agreement for student mobility within the EDUC gap semester scheme</w:t>
            </w:r>
          </w:p>
          <w:p w14:paraId="242D3002" w14:textId="77777777" w:rsidR="00D37260" w:rsidRDefault="00E5433B" w:rsidP="005933E9">
            <w:pPr>
              <w:jc w:val="right"/>
              <w:rPr>
                <w:sz w:val="20"/>
                <w:szCs w:val="20"/>
              </w:rPr>
            </w:pPr>
            <w:r>
              <w:rPr>
                <w:sz w:val="20"/>
                <w:szCs w:val="20"/>
              </w:rPr>
              <w:t>Version</w:t>
            </w:r>
            <w:r w:rsidR="005933E9">
              <w:rPr>
                <w:sz w:val="20"/>
                <w:szCs w:val="20"/>
              </w:rPr>
              <w:t xml:space="preserve"> 5</w:t>
            </w:r>
            <w:r>
              <w:rPr>
                <w:sz w:val="20"/>
                <w:szCs w:val="20"/>
              </w:rPr>
              <w:t xml:space="preserve">, </w:t>
            </w:r>
            <w:r w:rsidR="005933E9">
              <w:rPr>
                <w:sz w:val="20"/>
                <w:szCs w:val="20"/>
              </w:rPr>
              <w:t>February</w:t>
            </w:r>
            <w:r>
              <w:rPr>
                <w:sz w:val="20"/>
                <w:szCs w:val="20"/>
              </w:rPr>
              <w:t xml:space="preserve"> 202</w:t>
            </w:r>
            <w:r w:rsidR="005933E9">
              <w:rPr>
                <w:sz w:val="20"/>
                <w:szCs w:val="20"/>
              </w:rPr>
              <w:t>4</w:t>
            </w:r>
          </w:p>
        </w:tc>
      </w:tr>
    </w:tbl>
    <w:p w14:paraId="72A6B651" w14:textId="77777777" w:rsidR="00D37260" w:rsidRDefault="00D37260"/>
    <w:p w14:paraId="00AD2F0D" w14:textId="77777777" w:rsidR="00D37260" w:rsidRDefault="00E5433B">
      <w:pPr>
        <w:rPr>
          <w:u w:val="single"/>
        </w:rPr>
      </w:pPr>
      <w:r>
        <w:rPr>
          <w:u w:val="single"/>
        </w:rPr>
        <w:t>Information about the student</w:t>
      </w:r>
    </w:p>
    <w:tbl>
      <w:tblPr>
        <w:tblStyle w:val="a5"/>
        <w:tblW w:w="9346" w:type="dxa"/>
        <w:tblInd w:w="0" w:type="dxa"/>
        <w:tblLayout w:type="fixed"/>
        <w:tblLook w:val="0600" w:firstRow="0" w:lastRow="0" w:firstColumn="0" w:lastColumn="0" w:noHBand="1" w:noVBand="1"/>
      </w:tblPr>
      <w:tblGrid>
        <w:gridCol w:w="2837"/>
        <w:gridCol w:w="6509"/>
      </w:tblGrid>
      <w:tr w:rsidR="00D37260" w14:paraId="14E10EDB" w14:textId="77777777">
        <w:trPr>
          <w:trHeight w:val="44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0EF2AF50" w14:textId="77777777" w:rsidR="00D37260" w:rsidRDefault="00E5433B">
            <w:pPr>
              <w:widowControl w:val="0"/>
              <w:spacing w:line="240" w:lineRule="auto"/>
            </w:pPr>
            <w:r>
              <w:t>Gender</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0F3C3C46" w14:textId="77777777" w:rsidR="00D37260" w:rsidRDefault="00D37260">
            <w:pPr>
              <w:widowControl w:val="0"/>
              <w:spacing w:line="240" w:lineRule="auto"/>
            </w:pPr>
          </w:p>
        </w:tc>
      </w:tr>
      <w:tr w:rsidR="00D37260" w14:paraId="2D4474B2"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190392FB" w14:textId="77777777" w:rsidR="00D37260" w:rsidRDefault="00E5433B">
            <w:pPr>
              <w:widowControl w:val="0"/>
              <w:spacing w:line="240" w:lineRule="auto"/>
            </w:pPr>
            <w:r>
              <w:t>Surname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392A77D8" w14:textId="77777777" w:rsidR="00D37260" w:rsidRDefault="00D37260">
            <w:pPr>
              <w:widowControl w:val="0"/>
              <w:spacing w:line="240" w:lineRule="auto"/>
            </w:pPr>
          </w:p>
        </w:tc>
      </w:tr>
      <w:tr w:rsidR="00D37260" w14:paraId="3696CAF3" w14:textId="77777777">
        <w:trPr>
          <w:trHeight w:val="23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63D9CF1" w14:textId="77777777" w:rsidR="00D37260" w:rsidRDefault="00E5433B">
            <w:pPr>
              <w:widowControl w:val="0"/>
              <w:spacing w:line="240" w:lineRule="auto"/>
            </w:pPr>
            <w:r>
              <w:t>First name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74BA9FF1" w14:textId="77777777" w:rsidR="00D37260" w:rsidRDefault="00D37260">
            <w:pPr>
              <w:widowControl w:val="0"/>
              <w:spacing w:line="240" w:lineRule="auto"/>
            </w:pPr>
          </w:p>
        </w:tc>
      </w:tr>
      <w:tr w:rsidR="00D37260" w14:paraId="520A3C5D"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51F4A36B" w14:textId="77777777" w:rsidR="00D37260" w:rsidRDefault="00E5433B">
            <w:pPr>
              <w:widowControl w:val="0"/>
              <w:spacing w:line="240" w:lineRule="auto"/>
            </w:pPr>
            <w:r>
              <w:t>Nationality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312E233A" w14:textId="77777777" w:rsidR="00D37260" w:rsidRDefault="00D37260">
            <w:pPr>
              <w:widowControl w:val="0"/>
              <w:spacing w:line="240" w:lineRule="auto"/>
            </w:pPr>
          </w:p>
        </w:tc>
      </w:tr>
      <w:tr w:rsidR="00D37260" w14:paraId="3EDA5E39"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6DBAA2E2" w14:textId="77777777" w:rsidR="00D37260" w:rsidRDefault="00E5433B">
            <w:pPr>
              <w:widowControl w:val="0"/>
              <w:spacing w:line="240" w:lineRule="auto"/>
            </w:pPr>
            <w:r>
              <w:t>Name of the sending university and registered discipline in the sending university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2C07B5E8" w14:textId="77777777" w:rsidR="00D37260" w:rsidRDefault="00D37260">
            <w:pPr>
              <w:widowControl w:val="0"/>
              <w:spacing w:line="240" w:lineRule="auto"/>
            </w:pPr>
          </w:p>
        </w:tc>
      </w:tr>
      <w:tr w:rsidR="00D37260" w14:paraId="5DBA8CC5"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5A5D7B7C" w14:textId="77777777" w:rsidR="00D37260" w:rsidRDefault="00E5433B">
            <w:pPr>
              <w:widowControl w:val="0"/>
              <w:spacing w:line="240" w:lineRule="auto"/>
            </w:pPr>
            <w:r>
              <w:t>Permanent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4F572886" w14:textId="77777777" w:rsidR="00D37260" w:rsidRDefault="00D37260">
            <w:pPr>
              <w:widowControl w:val="0"/>
              <w:spacing w:line="240" w:lineRule="auto"/>
            </w:pPr>
          </w:p>
        </w:tc>
      </w:tr>
      <w:tr w:rsidR="00D37260" w14:paraId="1691806C"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58B75794" w14:textId="77777777" w:rsidR="00D37260" w:rsidRDefault="00E5433B">
            <w:pPr>
              <w:widowControl w:val="0"/>
              <w:spacing w:line="240" w:lineRule="auto"/>
            </w:pPr>
            <w:r>
              <w:t>email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0CA7A5D4" w14:textId="77777777" w:rsidR="00D37260" w:rsidRDefault="00D37260">
            <w:pPr>
              <w:widowControl w:val="0"/>
              <w:spacing w:line="240" w:lineRule="auto"/>
            </w:pPr>
          </w:p>
        </w:tc>
      </w:tr>
      <w:tr w:rsidR="00D37260" w14:paraId="2D80991C" w14:textId="77777777">
        <w:trPr>
          <w:trHeight w:val="232"/>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66F870DF" w14:textId="77777777" w:rsidR="00D37260" w:rsidRDefault="00E5433B">
            <w:pPr>
              <w:widowControl w:val="0"/>
              <w:spacing w:line="240" w:lineRule="auto"/>
            </w:pPr>
            <w:r>
              <w:t>Phone number (with country code)</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640EF958" w14:textId="77777777" w:rsidR="00D37260" w:rsidRDefault="00D37260">
            <w:pPr>
              <w:widowControl w:val="0"/>
              <w:spacing w:line="240" w:lineRule="auto"/>
            </w:pPr>
          </w:p>
        </w:tc>
      </w:tr>
      <w:tr w:rsidR="00D37260" w14:paraId="5B0064D0" w14:textId="77777777">
        <w:trPr>
          <w:trHeight w:val="368"/>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97E8F7A" w14:textId="77777777" w:rsidR="00D37260" w:rsidRDefault="00E5433B">
            <w:pPr>
              <w:widowControl w:val="0"/>
              <w:spacing w:line="240" w:lineRule="auto"/>
            </w:pPr>
            <w:r>
              <w:t>Contact person in case of an emergency</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47532006" w14:textId="77777777" w:rsidR="00D37260" w:rsidRDefault="00D37260">
            <w:pPr>
              <w:widowControl w:val="0"/>
              <w:spacing w:line="240" w:lineRule="auto"/>
            </w:pPr>
          </w:p>
        </w:tc>
      </w:tr>
      <w:tr w:rsidR="00D37260" w14:paraId="1B6610AD"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9286936" w14:textId="77777777" w:rsidR="00D37260" w:rsidRDefault="00E5433B">
            <w:pPr>
              <w:widowControl w:val="0"/>
              <w:spacing w:line="240" w:lineRule="auto"/>
            </w:pPr>
            <w:r>
              <w:t>Relation with the student</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5E591ACD" w14:textId="77777777" w:rsidR="00D37260" w:rsidRDefault="00D37260">
            <w:pPr>
              <w:widowControl w:val="0"/>
              <w:spacing w:line="240" w:lineRule="auto"/>
            </w:pPr>
          </w:p>
        </w:tc>
      </w:tr>
      <w:tr w:rsidR="00D37260" w14:paraId="00A982A0" w14:textId="77777777">
        <w:trPr>
          <w:trHeight w:val="224"/>
        </w:trPr>
        <w:tc>
          <w:tcPr>
            <w:tcW w:w="2837" w:type="dxa"/>
            <w:tcBorders>
              <w:top w:val="single" w:sz="8" w:space="0" w:color="000000"/>
              <w:left w:val="single" w:sz="8" w:space="0" w:color="000000"/>
              <w:bottom w:val="single" w:sz="8" w:space="0" w:color="000000"/>
              <w:right w:val="single" w:sz="8" w:space="0" w:color="000000"/>
            </w:tcBorders>
            <w:shd w:val="clear" w:color="auto" w:fill="FFFFCC"/>
          </w:tcPr>
          <w:p w14:paraId="359A8D66" w14:textId="77777777" w:rsidR="00D37260" w:rsidRDefault="00E5433B">
            <w:pPr>
              <w:widowControl w:val="0"/>
              <w:spacing w:line="240" w:lineRule="auto"/>
            </w:pPr>
            <w:r>
              <w:t>Phone number and email address</w:t>
            </w:r>
          </w:p>
        </w:tc>
        <w:tc>
          <w:tcPr>
            <w:tcW w:w="6509" w:type="dxa"/>
            <w:tcBorders>
              <w:top w:val="single" w:sz="8" w:space="0" w:color="000000"/>
              <w:left w:val="single" w:sz="8" w:space="0" w:color="000000"/>
              <w:bottom w:val="single" w:sz="8" w:space="0" w:color="000000"/>
              <w:right w:val="single" w:sz="8" w:space="0" w:color="000000"/>
            </w:tcBorders>
            <w:shd w:val="clear" w:color="auto" w:fill="auto"/>
          </w:tcPr>
          <w:p w14:paraId="052F3FA6" w14:textId="77777777" w:rsidR="00D37260" w:rsidRDefault="00D37260">
            <w:pPr>
              <w:widowControl w:val="0"/>
              <w:spacing w:line="240" w:lineRule="auto"/>
            </w:pPr>
          </w:p>
        </w:tc>
      </w:tr>
    </w:tbl>
    <w:p w14:paraId="0204D3E6" w14:textId="77777777" w:rsidR="00D37260" w:rsidRDefault="00D37260"/>
    <w:p w14:paraId="0E41D2A2" w14:textId="77777777" w:rsidR="00D37260" w:rsidRDefault="00D37260">
      <w:pPr>
        <w:rPr>
          <w:u w:val="single"/>
        </w:rPr>
      </w:pPr>
    </w:p>
    <w:p w14:paraId="0E3A590C" w14:textId="77777777" w:rsidR="00D37260" w:rsidRDefault="00D37260">
      <w:pPr>
        <w:rPr>
          <w:u w:val="single"/>
        </w:rPr>
      </w:pPr>
    </w:p>
    <w:p w14:paraId="6F76D16C" w14:textId="77777777" w:rsidR="00D37260" w:rsidRDefault="00D37260">
      <w:pPr>
        <w:rPr>
          <w:u w:val="single"/>
        </w:rPr>
      </w:pPr>
    </w:p>
    <w:p w14:paraId="3C4D1D4D" w14:textId="77777777" w:rsidR="00D37260" w:rsidRDefault="00D37260">
      <w:pPr>
        <w:rPr>
          <w:u w:val="single"/>
        </w:rPr>
      </w:pPr>
    </w:p>
    <w:p w14:paraId="7569D4FB" w14:textId="77777777" w:rsidR="00D37260" w:rsidRDefault="00E5433B">
      <w:pPr>
        <w:rPr>
          <w:u w:val="single"/>
        </w:rPr>
      </w:pPr>
      <w:r>
        <w:rPr>
          <w:u w:val="single"/>
        </w:rPr>
        <w:t>Information about the mobility</w:t>
      </w:r>
    </w:p>
    <w:p w14:paraId="781CA25B" w14:textId="77777777" w:rsidR="00D37260" w:rsidRDefault="00D37260"/>
    <w:tbl>
      <w:tblPr>
        <w:tblStyle w:val="a6"/>
        <w:tblW w:w="10125" w:type="dxa"/>
        <w:tblInd w:w="-440" w:type="dxa"/>
        <w:tblLayout w:type="fixed"/>
        <w:tblLook w:val="0600" w:firstRow="0" w:lastRow="0" w:firstColumn="0" w:lastColumn="0" w:noHBand="1" w:noVBand="1"/>
      </w:tblPr>
      <w:tblGrid>
        <w:gridCol w:w="3344"/>
        <w:gridCol w:w="6781"/>
      </w:tblGrid>
      <w:tr w:rsidR="00D37260" w14:paraId="604DAD1D"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7D8D82F4" w14:textId="77777777" w:rsidR="00D37260" w:rsidRDefault="00E5433B">
            <w:pPr>
              <w:widowControl w:val="0"/>
              <w:spacing w:line="240" w:lineRule="auto"/>
            </w:pPr>
            <w:r>
              <w:t>Name of the teacher coordinator (from the sending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38E5BB42" w14:textId="77777777" w:rsidR="00D37260" w:rsidRDefault="00D37260">
            <w:pPr>
              <w:widowControl w:val="0"/>
              <w:spacing w:line="240" w:lineRule="auto"/>
            </w:pPr>
          </w:p>
        </w:tc>
      </w:tr>
      <w:tr w:rsidR="00D37260" w14:paraId="3029247F"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1EF71F15" w14:textId="77777777" w:rsidR="00D37260" w:rsidRDefault="00E5433B">
            <w:pPr>
              <w:widowControl w:val="0"/>
              <w:spacing w:line="240" w:lineRule="auto"/>
            </w:pPr>
            <w:r>
              <w:t>Name of the receiving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0970318A" w14:textId="77777777" w:rsidR="00D37260" w:rsidRDefault="00D37260">
            <w:pPr>
              <w:widowControl w:val="0"/>
              <w:spacing w:line="240" w:lineRule="auto"/>
            </w:pPr>
          </w:p>
        </w:tc>
      </w:tr>
      <w:tr w:rsidR="00D37260" w14:paraId="70BAB945"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3569D9CE" w14:textId="77777777" w:rsidR="00D37260" w:rsidRDefault="00E5433B">
            <w:pPr>
              <w:widowControl w:val="0"/>
              <w:spacing w:line="240" w:lineRule="auto"/>
            </w:pPr>
            <w:r>
              <w:t xml:space="preserve">Country and city </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38D57A1F" w14:textId="77777777" w:rsidR="00D37260" w:rsidRDefault="00D37260">
            <w:pPr>
              <w:widowControl w:val="0"/>
              <w:spacing w:line="240" w:lineRule="auto"/>
            </w:pPr>
          </w:p>
        </w:tc>
      </w:tr>
      <w:tr w:rsidR="00D37260" w14:paraId="74D200A0" w14:textId="77777777">
        <w:tc>
          <w:tcPr>
            <w:tcW w:w="3344" w:type="dxa"/>
            <w:tcBorders>
              <w:top w:val="single" w:sz="8" w:space="0" w:color="000000"/>
              <w:left w:val="single" w:sz="8" w:space="0" w:color="000000"/>
              <w:bottom w:val="single" w:sz="8" w:space="0" w:color="000000"/>
              <w:right w:val="single" w:sz="8" w:space="0" w:color="000000"/>
            </w:tcBorders>
            <w:shd w:val="clear" w:color="auto" w:fill="FFD9FF"/>
          </w:tcPr>
          <w:p w14:paraId="46628D3E" w14:textId="77777777" w:rsidR="00D37260" w:rsidRDefault="00E5433B">
            <w:r>
              <w:t>Name of the teacher coordinator (from the receiving university)</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4DD1630E" w14:textId="77777777" w:rsidR="00D37260" w:rsidRDefault="00D37260">
            <w:pPr>
              <w:widowControl w:val="0"/>
              <w:spacing w:line="240" w:lineRule="auto"/>
            </w:pPr>
          </w:p>
        </w:tc>
      </w:tr>
      <w:tr w:rsidR="00D37260" w14:paraId="0BE71259" w14:textId="77777777">
        <w:tc>
          <w:tcPr>
            <w:tcW w:w="3344" w:type="dxa"/>
            <w:tcBorders>
              <w:top w:val="single" w:sz="8" w:space="0" w:color="000000"/>
              <w:left w:val="single" w:sz="8" w:space="0" w:color="000000"/>
              <w:bottom w:val="single" w:sz="8" w:space="0" w:color="000000"/>
              <w:right w:val="single" w:sz="8" w:space="0" w:color="000000"/>
            </w:tcBorders>
            <w:shd w:val="clear" w:color="auto" w:fill="FFFFCC"/>
          </w:tcPr>
          <w:p w14:paraId="376EF396" w14:textId="77777777" w:rsidR="00D37260" w:rsidRDefault="00E5433B">
            <w:pPr>
              <w:widowControl w:val="0"/>
              <w:spacing w:line="240" w:lineRule="auto"/>
            </w:pPr>
            <w:r>
              <w:t>Mobility period (delete unnecessary proposal)</w:t>
            </w:r>
          </w:p>
        </w:tc>
        <w:tc>
          <w:tcPr>
            <w:tcW w:w="6781" w:type="dxa"/>
            <w:tcBorders>
              <w:top w:val="single" w:sz="8" w:space="0" w:color="000000"/>
              <w:left w:val="single" w:sz="8" w:space="0" w:color="000000"/>
              <w:bottom w:val="single" w:sz="8" w:space="0" w:color="000000"/>
              <w:right w:val="single" w:sz="8" w:space="0" w:color="000000"/>
            </w:tcBorders>
            <w:shd w:val="clear" w:color="auto" w:fill="auto"/>
          </w:tcPr>
          <w:p w14:paraId="368385E7" w14:textId="77777777" w:rsidR="00D37260" w:rsidRDefault="00E5433B">
            <w:pPr>
              <w:numPr>
                <w:ilvl w:val="0"/>
                <w:numId w:val="4"/>
              </w:numPr>
              <w:pBdr>
                <w:top w:val="nil"/>
                <w:left w:val="nil"/>
                <w:bottom w:val="nil"/>
                <w:right w:val="nil"/>
                <w:between w:val="nil"/>
              </w:pBdr>
              <w:spacing w:after="0" w:line="240" w:lineRule="auto"/>
              <w:jc w:val="both"/>
            </w:pPr>
            <w:r>
              <w:rPr>
                <w:color w:val="000000"/>
              </w:rPr>
              <w:t>Semester 1/ Fall semester/Winter term</w:t>
            </w:r>
          </w:p>
          <w:p w14:paraId="6EB4C289" w14:textId="77777777" w:rsidR="00D37260" w:rsidRPr="00373D91" w:rsidRDefault="00E5433B">
            <w:pPr>
              <w:numPr>
                <w:ilvl w:val="0"/>
                <w:numId w:val="4"/>
              </w:numPr>
              <w:pBdr>
                <w:top w:val="nil"/>
                <w:left w:val="nil"/>
                <w:bottom w:val="nil"/>
                <w:right w:val="nil"/>
                <w:between w:val="nil"/>
              </w:pBdr>
              <w:spacing w:after="0" w:line="240" w:lineRule="auto"/>
              <w:jc w:val="both"/>
            </w:pPr>
            <w:r>
              <w:rPr>
                <w:color w:val="000000"/>
              </w:rPr>
              <w:t>Semester 2/ Spring semester/ Summer term</w:t>
            </w:r>
          </w:p>
          <w:p w14:paraId="2797F6E2" w14:textId="77777777" w:rsidR="00E5433B" w:rsidRDefault="00D434F2" w:rsidP="005933E9">
            <w:pPr>
              <w:numPr>
                <w:ilvl w:val="0"/>
                <w:numId w:val="4"/>
              </w:numPr>
              <w:pBdr>
                <w:top w:val="nil"/>
                <w:left w:val="nil"/>
                <w:bottom w:val="nil"/>
                <w:right w:val="nil"/>
                <w:between w:val="nil"/>
              </w:pBdr>
              <w:spacing w:after="0" w:line="240" w:lineRule="auto"/>
              <w:jc w:val="both"/>
            </w:pPr>
            <w:r>
              <w:rPr>
                <w:color w:val="000000"/>
              </w:rPr>
              <w:t>Academic Year</w:t>
            </w:r>
          </w:p>
        </w:tc>
      </w:tr>
      <w:tr w:rsidR="00D37260" w14:paraId="5E28E793" w14:textId="77777777">
        <w:tc>
          <w:tcPr>
            <w:tcW w:w="3344" w:type="dxa"/>
            <w:tcBorders>
              <w:top w:val="single" w:sz="8" w:space="0" w:color="000000"/>
              <w:left w:val="single" w:sz="8" w:space="0" w:color="000000"/>
              <w:bottom w:val="single" w:sz="8" w:space="0" w:color="000000"/>
              <w:right w:val="single" w:sz="8" w:space="0" w:color="000000"/>
            </w:tcBorders>
            <w:shd w:val="clear" w:color="auto" w:fill="FFD9FF"/>
          </w:tcPr>
          <w:p w14:paraId="3AB7966E" w14:textId="77777777" w:rsidR="00D37260" w:rsidRDefault="00E5433B">
            <w:pPr>
              <w:widowControl w:val="0"/>
              <w:spacing w:line="240" w:lineRule="auto"/>
            </w:pPr>
            <w:r>
              <w:t>Estimated starting date</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cPr>
          <w:p w14:paraId="3012D959" w14:textId="77777777" w:rsidR="00D37260" w:rsidRDefault="00D37260">
            <w:pPr>
              <w:widowControl w:val="0"/>
              <w:spacing w:line="240" w:lineRule="auto"/>
            </w:pPr>
          </w:p>
        </w:tc>
      </w:tr>
      <w:tr w:rsidR="00D37260" w14:paraId="7588F55D" w14:textId="77777777">
        <w:tc>
          <w:tcPr>
            <w:tcW w:w="3344" w:type="dxa"/>
            <w:tcBorders>
              <w:top w:val="single" w:sz="8" w:space="0" w:color="000000"/>
              <w:left w:val="single" w:sz="8" w:space="0" w:color="000000"/>
              <w:bottom w:val="single" w:sz="8" w:space="0" w:color="000000"/>
              <w:right w:val="single" w:sz="8" w:space="0" w:color="000000"/>
            </w:tcBorders>
            <w:shd w:val="clear" w:color="auto" w:fill="FFD9FF"/>
          </w:tcPr>
          <w:p w14:paraId="6248CDBD" w14:textId="77777777" w:rsidR="00D37260" w:rsidRDefault="00E5433B">
            <w:pPr>
              <w:widowControl w:val="0"/>
              <w:spacing w:line="240" w:lineRule="auto"/>
            </w:pPr>
            <w:r>
              <w:t>Estimated ending date</w:t>
            </w:r>
          </w:p>
        </w:tc>
        <w:tc>
          <w:tcPr>
            <w:tcW w:w="6781" w:type="dxa"/>
            <w:tcBorders>
              <w:top w:val="single" w:sz="8" w:space="0" w:color="000000"/>
              <w:left w:val="single" w:sz="8" w:space="0" w:color="000000"/>
              <w:bottom w:val="single" w:sz="8" w:space="0" w:color="000000"/>
              <w:right w:val="single" w:sz="8" w:space="0" w:color="000000"/>
            </w:tcBorders>
            <w:shd w:val="clear" w:color="auto" w:fill="FFFFFF"/>
          </w:tcPr>
          <w:p w14:paraId="1E09B59C" w14:textId="77777777" w:rsidR="00D37260" w:rsidRDefault="00D37260">
            <w:pPr>
              <w:widowControl w:val="0"/>
              <w:spacing w:line="240" w:lineRule="auto"/>
            </w:pPr>
          </w:p>
        </w:tc>
      </w:tr>
    </w:tbl>
    <w:p w14:paraId="2239ECDE" w14:textId="77777777" w:rsidR="00D37260" w:rsidRDefault="00D37260"/>
    <w:p w14:paraId="2340D2B2" w14:textId="77777777" w:rsidR="00D37260" w:rsidRDefault="00D37260"/>
    <w:p w14:paraId="08DFCC89" w14:textId="77777777" w:rsidR="00D37260" w:rsidRDefault="00D37260"/>
    <w:p w14:paraId="0CB65D65" w14:textId="77777777" w:rsidR="00D37260" w:rsidRDefault="00D37260"/>
    <w:p w14:paraId="4B2992F4" w14:textId="77777777" w:rsidR="00D37260" w:rsidRDefault="00D37260"/>
    <w:p w14:paraId="14F77B60" w14:textId="77777777" w:rsidR="00D37260" w:rsidRDefault="00D37260"/>
    <w:p w14:paraId="7544D874" w14:textId="77777777" w:rsidR="00D37260" w:rsidRDefault="00D37260"/>
    <w:p w14:paraId="6D30DE63" w14:textId="77777777" w:rsidR="00D37260" w:rsidRDefault="00D37260"/>
    <w:p w14:paraId="06D06CBC" w14:textId="77777777" w:rsidR="00D37260" w:rsidRDefault="00D37260"/>
    <w:p w14:paraId="04E82A03" w14:textId="77777777" w:rsidR="00D37260" w:rsidRDefault="00D37260"/>
    <w:p w14:paraId="59A07407" w14:textId="77777777" w:rsidR="00D37260" w:rsidRDefault="00D37260"/>
    <w:p w14:paraId="7B90208F" w14:textId="77777777" w:rsidR="00D37260" w:rsidRDefault="00D37260"/>
    <w:p w14:paraId="633DFCFE" w14:textId="77777777" w:rsidR="006A4FCE" w:rsidRDefault="006A4FCE"/>
    <w:p w14:paraId="5C1F7D9B" w14:textId="77777777" w:rsidR="00D37260" w:rsidRDefault="00D37260"/>
    <w:p w14:paraId="3F227B46" w14:textId="77777777" w:rsidR="00D37260" w:rsidRDefault="00D37260">
      <w:pPr>
        <w:rPr>
          <w:b/>
          <w:sz w:val="28"/>
          <w:szCs w:val="28"/>
        </w:rPr>
      </w:pPr>
    </w:p>
    <w:p w14:paraId="28E00FB6" w14:textId="77777777" w:rsidR="00D37260" w:rsidRDefault="00E5433B">
      <w:pPr>
        <w:jc w:val="center"/>
        <w:rPr>
          <w:b/>
          <w:sz w:val="28"/>
          <w:szCs w:val="28"/>
        </w:rPr>
      </w:pPr>
      <w:r>
        <w:rPr>
          <w:b/>
          <w:sz w:val="28"/>
          <w:szCs w:val="28"/>
        </w:rPr>
        <w:lastRenderedPageBreak/>
        <w:t>Terms and conditions of the gap-semester</w:t>
      </w:r>
    </w:p>
    <w:p w14:paraId="36C78672" w14:textId="77777777" w:rsidR="00D37260" w:rsidRDefault="00D37260">
      <w:pPr>
        <w:widowControl w:val="0"/>
        <w:spacing w:line="240" w:lineRule="auto"/>
        <w:rPr>
          <w:u w:val="single"/>
        </w:rPr>
      </w:pPr>
    </w:p>
    <w:p w14:paraId="1F7D8847" w14:textId="77777777" w:rsidR="00D37260" w:rsidRDefault="00E5433B">
      <w:pPr>
        <w:numPr>
          <w:ilvl w:val="0"/>
          <w:numId w:val="5"/>
        </w:numPr>
        <w:spacing w:after="0" w:line="240" w:lineRule="auto"/>
        <w:jc w:val="both"/>
        <w:rPr>
          <w:color w:val="000000"/>
        </w:rPr>
      </w:pPr>
      <w:r>
        <w:rPr>
          <w:color w:val="000000"/>
        </w:rPr>
        <w:t>G</w:t>
      </w:r>
      <w:r>
        <w:t>ap semester</w:t>
      </w:r>
      <w:r>
        <w:rPr>
          <w:color w:val="000000"/>
        </w:rPr>
        <w:t xml:space="preserve"> students are </w:t>
      </w:r>
      <w:r>
        <w:t>treated</w:t>
      </w:r>
      <w:r>
        <w:rPr>
          <w:color w:val="000000"/>
        </w:rPr>
        <w:t xml:space="preserve"> as regular exchange students at the receiving university</w:t>
      </w:r>
    </w:p>
    <w:p w14:paraId="2DE1BC7F" w14:textId="77777777" w:rsidR="00D37260" w:rsidRDefault="00D37260">
      <w:pPr>
        <w:spacing w:after="0" w:line="240" w:lineRule="auto"/>
        <w:ind w:left="720"/>
        <w:jc w:val="both"/>
        <w:rPr>
          <w:color w:val="000000"/>
        </w:rPr>
      </w:pPr>
    </w:p>
    <w:p w14:paraId="48093086" w14:textId="77777777" w:rsidR="00D37260" w:rsidRPr="006A4FCE" w:rsidRDefault="006A4FCE" w:rsidP="006A4FCE">
      <w:pPr>
        <w:numPr>
          <w:ilvl w:val="0"/>
          <w:numId w:val="8"/>
        </w:numPr>
        <w:spacing w:after="0" w:line="240" w:lineRule="auto"/>
        <w:jc w:val="both"/>
        <w:rPr>
          <w:color w:val="000000"/>
        </w:rPr>
      </w:pPr>
      <w:r w:rsidRPr="00A64FE7">
        <w:t>Students may apply for a minimum of one and a maximum of two semesters abroad. In the case of two semesters, these may be spent at one partner university or split between two partner universities.</w:t>
      </w:r>
    </w:p>
    <w:p w14:paraId="23975D19" w14:textId="77777777" w:rsidR="00D37260" w:rsidRDefault="00D37260">
      <w:pPr>
        <w:spacing w:after="0" w:line="240" w:lineRule="auto"/>
        <w:jc w:val="both"/>
      </w:pPr>
    </w:p>
    <w:p w14:paraId="00DB4873" w14:textId="77777777" w:rsidR="00D37260" w:rsidRDefault="00E5433B">
      <w:pPr>
        <w:numPr>
          <w:ilvl w:val="0"/>
          <w:numId w:val="5"/>
        </w:numPr>
        <w:spacing w:after="0" w:line="240" w:lineRule="auto"/>
        <w:jc w:val="both"/>
        <w:rPr>
          <w:color w:val="000000"/>
        </w:rPr>
      </w:pPr>
      <w:r>
        <w:rPr>
          <w:color w:val="000000"/>
        </w:rPr>
        <w:t>Students must choose courses outside of the field of study of their sending university program.</w:t>
      </w:r>
    </w:p>
    <w:p w14:paraId="77771860" w14:textId="77777777" w:rsidR="00D37260" w:rsidRDefault="00D37260">
      <w:pPr>
        <w:spacing w:after="0" w:line="240" w:lineRule="auto"/>
        <w:jc w:val="both"/>
      </w:pPr>
    </w:p>
    <w:p w14:paraId="2EEF0859" w14:textId="77777777" w:rsidR="00D37260" w:rsidRDefault="00E5433B">
      <w:pPr>
        <w:numPr>
          <w:ilvl w:val="0"/>
          <w:numId w:val="5"/>
        </w:numPr>
        <w:spacing w:after="0" w:line="240" w:lineRule="auto"/>
        <w:jc w:val="both"/>
        <w:rPr>
          <w:color w:val="000000"/>
        </w:rPr>
      </w:pPr>
      <w:r>
        <w:rPr>
          <w:color w:val="000000"/>
        </w:rPr>
        <w:t>Students choose the courses open to regular exchange students, whether taught in English or any other language.</w:t>
      </w:r>
    </w:p>
    <w:p w14:paraId="23200BE3" w14:textId="77777777" w:rsidR="00D37260" w:rsidRDefault="00D37260">
      <w:pPr>
        <w:spacing w:after="0" w:line="240" w:lineRule="auto"/>
        <w:jc w:val="both"/>
      </w:pPr>
    </w:p>
    <w:p w14:paraId="1F74B6DE" w14:textId="77777777" w:rsidR="00D37260" w:rsidRDefault="00E5433B">
      <w:pPr>
        <w:numPr>
          <w:ilvl w:val="0"/>
          <w:numId w:val="5"/>
        </w:numPr>
        <w:spacing w:after="0" w:line="240" w:lineRule="auto"/>
        <w:jc w:val="both"/>
        <w:rPr>
          <w:color w:val="000000"/>
        </w:rPr>
      </w:pPr>
      <w:r>
        <w:rPr>
          <w:color w:val="000000"/>
        </w:rPr>
        <w:t xml:space="preserve">Students </w:t>
      </w:r>
      <w:r>
        <w:t>must</w:t>
      </w:r>
      <w:r>
        <w:rPr>
          <w:color w:val="000000"/>
        </w:rPr>
        <w:t xml:space="preserve"> comply with the </w:t>
      </w:r>
      <w:r>
        <w:t>receiving university’s</w:t>
      </w:r>
      <w:r>
        <w:rPr>
          <w:color w:val="000000"/>
        </w:rPr>
        <w:t xml:space="preserve"> requirements (language level, number of absence tolerated, etc.).</w:t>
      </w:r>
    </w:p>
    <w:p w14:paraId="5B982D5A" w14:textId="77777777" w:rsidR="00D37260" w:rsidRDefault="00D37260">
      <w:pPr>
        <w:spacing w:after="0" w:line="240" w:lineRule="auto"/>
        <w:jc w:val="both"/>
      </w:pPr>
    </w:p>
    <w:p w14:paraId="7810B334" w14:textId="77777777" w:rsidR="00D37260" w:rsidRDefault="00E5433B">
      <w:pPr>
        <w:numPr>
          <w:ilvl w:val="0"/>
          <w:numId w:val="5"/>
        </w:numPr>
        <w:spacing w:after="0" w:line="240" w:lineRule="auto"/>
        <w:jc w:val="both"/>
      </w:pPr>
      <w:r>
        <w:rPr>
          <w:color w:val="000000"/>
        </w:rPr>
        <w:t xml:space="preserve">Students have access to local language courses from the native language of the receiving university (French, </w:t>
      </w:r>
      <w:r w:rsidR="00872611">
        <w:rPr>
          <w:color w:val="000000"/>
        </w:rPr>
        <w:t xml:space="preserve">German, </w:t>
      </w:r>
      <w:r>
        <w:rPr>
          <w:color w:val="000000"/>
        </w:rPr>
        <w:t>Italian, Hungarian, Spanish, Norwegian and Czech)</w:t>
      </w:r>
      <w:r>
        <w:t>.</w:t>
      </w:r>
    </w:p>
    <w:p w14:paraId="33B7C61B" w14:textId="77777777" w:rsidR="00D37260" w:rsidRDefault="00D37260">
      <w:pPr>
        <w:spacing w:after="0" w:line="240" w:lineRule="auto"/>
        <w:jc w:val="both"/>
      </w:pPr>
    </w:p>
    <w:p w14:paraId="2C37C929" w14:textId="77777777" w:rsidR="00D37260" w:rsidRDefault="00E5433B">
      <w:pPr>
        <w:numPr>
          <w:ilvl w:val="0"/>
          <w:numId w:val="5"/>
        </w:numPr>
        <w:spacing w:after="0" w:line="240" w:lineRule="auto"/>
        <w:jc w:val="both"/>
      </w:pPr>
      <w:r>
        <w:rPr>
          <w:color w:val="000000"/>
        </w:rPr>
        <w:t xml:space="preserve">Students must select courses representing </w:t>
      </w:r>
      <w:r>
        <w:rPr>
          <w:color w:val="000000"/>
          <w:u w:val="single"/>
        </w:rPr>
        <w:t>an equivalent</w:t>
      </w:r>
      <w:r>
        <w:rPr>
          <w:u w:val="single"/>
        </w:rPr>
        <w:t xml:space="preserve"> of </w:t>
      </w:r>
      <w:r>
        <w:rPr>
          <w:color w:val="000000"/>
          <w:u w:val="single"/>
        </w:rPr>
        <w:t>30 ECTS credits</w:t>
      </w:r>
      <w:r>
        <w:rPr>
          <w:color w:val="000000"/>
        </w:rPr>
        <w:t xml:space="preserve"> per semester. </w:t>
      </w:r>
    </w:p>
    <w:p w14:paraId="732CEB14" w14:textId="77777777" w:rsidR="00D37260" w:rsidRDefault="00D37260">
      <w:pPr>
        <w:spacing w:after="0" w:line="240" w:lineRule="auto"/>
        <w:jc w:val="both"/>
      </w:pPr>
    </w:p>
    <w:p w14:paraId="1D435F85" w14:textId="77777777" w:rsidR="00D37260" w:rsidRDefault="00E5433B">
      <w:pPr>
        <w:numPr>
          <w:ilvl w:val="0"/>
          <w:numId w:val="5"/>
        </w:numPr>
        <w:spacing w:after="0" w:line="240" w:lineRule="auto"/>
        <w:jc w:val="both"/>
        <w:rPr>
          <w:color w:val="000000"/>
        </w:rPr>
      </w:pPr>
      <w:r>
        <w:t>A transcript of records will be issued by the receiving university. In addition, an individual EDUC certificate will be issued.</w:t>
      </w:r>
    </w:p>
    <w:p w14:paraId="3CB43188" w14:textId="77777777" w:rsidR="00D37260" w:rsidRDefault="00D37260">
      <w:pPr>
        <w:spacing w:after="0" w:line="240" w:lineRule="auto"/>
        <w:jc w:val="both"/>
      </w:pPr>
    </w:p>
    <w:p w14:paraId="67DCFB6E" w14:textId="77777777" w:rsidR="00D37260" w:rsidRDefault="00E5433B">
      <w:pPr>
        <w:numPr>
          <w:ilvl w:val="0"/>
          <w:numId w:val="5"/>
        </w:numPr>
        <w:spacing w:after="0" w:line="240" w:lineRule="auto"/>
        <w:jc w:val="both"/>
      </w:pPr>
      <w:r>
        <w:rPr>
          <w:color w:val="000000"/>
        </w:rPr>
        <w:t xml:space="preserve">Students must follow the local procedure to apply to the EDUC </w:t>
      </w:r>
      <w:r>
        <w:t>g</w:t>
      </w:r>
      <w:r>
        <w:rPr>
          <w:color w:val="000000"/>
        </w:rPr>
        <w:t xml:space="preserve">ap </w:t>
      </w:r>
      <w:r>
        <w:t>s</w:t>
      </w:r>
      <w:r>
        <w:rPr>
          <w:color w:val="000000"/>
        </w:rPr>
        <w:t xml:space="preserve">emester at their </w:t>
      </w:r>
      <w:r>
        <w:t>sending university</w:t>
      </w:r>
      <w:r>
        <w:rPr>
          <w:color w:val="000000"/>
        </w:rPr>
        <w:t xml:space="preserve">. The </w:t>
      </w:r>
      <w:r>
        <w:t>EDUC grant is paid by the sending institution. All relevant documents must be handed in at the sending institution, who will pass it on to the relevant receiving university.</w:t>
      </w:r>
    </w:p>
    <w:p w14:paraId="23A6A0AD" w14:textId="77777777" w:rsidR="00D37260" w:rsidRDefault="00D37260">
      <w:pPr>
        <w:spacing w:after="0" w:line="240" w:lineRule="auto"/>
        <w:jc w:val="both"/>
      </w:pPr>
    </w:p>
    <w:p w14:paraId="4A6ECE09" w14:textId="77777777" w:rsidR="00D37260" w:rsidRDefault="00E5433B">
      <w:pPr>
        <w:numPr>
          <w:ilvl w:val="0"/>
          <w:numId w:val="5"/>
        </w:numPr>
        <w:spacing w:after="0" w:line="240" w:lineRule="auto"/>
        <w:jc w:val="both"/>
        <w:rPr>
          <w:color w:val="000000"/>
        </w:rPr>
      </w:pPr>
      <w:r>
        <w:rPr>
          <w:color w:val="000000"/>
        </w:rPr>
        <w:t xml:space="preserve">After the EDUC commission, students will be notified by the sending university if they are selected for the EDUC </w:t>
      </w:r>
      <w:r>
        <w:t>gap semester</w:t>
      </w:r>
      <w:r>
        <w:rPr>
          <w:color w:val="000000"/>
        </w:rPr>
        <w:t xml:space="preserve">. A notification letter will also be sent by the receiving university to selected students. </w:t>
      </w:r>
    </w:p>
    <w:p w14:paraId="17E30A29" w14:textId="77777777" w:rsidR="00D37260" w:rsidRDefault="00D37260">
      <w:pPr>
        <w:spacing w:after="0" w:line="240" w:lineRule="auto"/>
        <w:jc w:val="both"/>
      </w:pPr>
    </w:p>
    <w:p w14:paraId="7392F145" w14:textId="403B447F" w:rsidR="008D6F13" w:rsidRDefault="00E5433B">
      <w:pPr>
        <w:numPr>
          <w:ilvl w:val="0"/>
          <w:numId w:val="5"/>
        </w:numPr>
        <w:spacing w:after="0" w:line="240" w:lineRule="auto"/>
        <w:jc w:val="both"/>
        <w:rPr>
          <w:color w:val="000000"/>
        </w:rPr>
      </w:pPr>
      <w:r>
        <w:rPr>
          <w:color w:val="000000"/>
        </w:rPr>
        <w:t xml:space="preserve">The EDUC </w:t>
      </w:r>
      <w:r>
        <w:t>gap semester scholarship</w:t>
      </w:r>
      <w:r>
        <w:rPr>
          <w:color w:val="000000"/>
        </w:rPr>
        <w:t xml:space="preserve"> is</w:t>
      </w:r>
      <w:r>
        <w:t xml:space="preserve"> </w:t>
      </w:r>
      <w:r w:rsidR="006251DB">
        <w:t>550</w:t>
      </w:r>
      <w:r>
        <w:t>,</w:t>
      </w:r>
      <w:r w:rsidR="006251DB">
        <w:t>00</w:t>
      </w:r>
      <w:r>
        <w:t xml:space="preserve"> </w:t>
      </w:r>
      <w:r>
        <w:rPr>
          <w:color w:val="000000"/>
        </w:rPr>
        <w:t xml:space="preserve">€ / month for </w:t>
      </w:r>
      <w:r w:rsidR="006251DB">
        <w:rPr>
          <w:color w:val="000000"/>
        </w:rPr>
        <w:t>Norway</w:t>
      </w:r>
      <w:r>
        <w:rPr>
          <w:color w:val="000000"/>
        </w:rPr>
        <w:t xml:space="preserve"> </w:t>
      </w:r>
      <w:r>
        <w:rPr>
          <w:b/>
          <w:color w:val="000000"/>
        </w:rPr>
        <w:t>OR</w:t>
      </w:r>
      <w:r w:rsidR="006251DB">
        <w:rPr>
          <w:color w:val="000000"/>
        </w:rPr>
        <w:t xml:space="preserve"> 500,00 € /month for Germany, Italy </w:t>
      </w:r>
      <w:r w:rsidR="00A721BD">
        <w:rPr>
          <w:color w:val="000000"/>
        </w:rPr>
        <w:t>or</w:t>
      </w:r>
      <w:r w:rsidR="006251DB">
        <w:rPr>
          <w:color w:val="000000"/>
        </w:rPr>
        <w:t xml:space="preserve"> Spain</w:t>
      </w:r>
      <w:r>
        <w:rPr>
          <w:color w:val="000000"/>
        </w:rPr>
        <w:t xml:space="preserve"> </w:t>
      </w:r>
      <w:r w:rsidR="006251DB">
        <w:rPr>
          <w:b/>
          <w:color w:val="000000"/>
        </w:rPr>
        <w:t xml:space="preserve">OR </w:t>
      </w:r>
      <w:r w:rsidR="006251DB">
        <w:rPr>
          <w:color w:val="000000"/>
        </w:rPr>
        <w:t>4</w:t>
      </w:r>
      <w:r>
        <w:rPr>
          <w:color w:val="000000"/>
        </w:rPr>
        <w:t>00,00 €</w:t>
      </w:r>
      <w:r w:rsidR="006251DB">
        <w:rPr>
          <w:color w:val="000000"/>
        </w:rPr>
        <w:t xml:space="preserve"> / month for Czech Republic </w:t>
      </w:r>
      <w:r w:rsidR="00A721BD">
        <w:rPr>
          <w:color w:val="000000"/>
        </w:rPr>
        <w:t>or</w:t>
      </w:r>
      <w:r w:rsidR="006251DB">
        <w:rPr>
          <w:color w:val="000000"/>
        </w:rPr>
        <w:t xml:space="preserve"> Hungary</w:t>
      </w:r>
      <w:r>
        <w:rPr>
          <w:color w:val="000000"/>
        </w:rPr>
        <w:t xml:space="preserve"> (calculated pro rata to the number of days of physical mobility during the study period)</w:t>
      </w:r>
      <w:r w:rsidR="006251DB">
        <w:rPr>
          <w:color w:val="000000"/>
        </w:rPr>
        <w:t>,</w:t>
      </w:r>
      <w:r>
        <w:rPr>
          <w:color w:val="000000"/>
        </w:rPr>
        <w:t xml:space="preserve"> in addition to the travel </w:t>
      </w:r>
      <w:r>
        <w:t xml:space="preserve">allowance: </w:t>
      </w:r>
      <w:r w:rsidR="006251DB">
        <w:t xml:space="preserve">300,00 </w:t>
      </w:r>
      <w:r>
        <w:t>€ for a mobility</w:t>
      </w:r>
      <w:r w:rsidR="006251DB">
        <w:t xml:space="preserve"> in Germany, Spain, Czech Republic or Hungary </w:t>
      </w:r>
      <w:r w:rsidR="006251DB">
        <w:rPr>
          <w:b/>
        </w:rPr>
        <w:t>OR</w:t>
      </w:r>
      <w:r w:rsidR="006251DB">
        <w:t xml:space="preserve"> 400,00 € for a mobility in Norway or Italy</w:t>
      </w:r>
      <w:r>
        <w:rPr>
          <w:color w:val="000000"/>
        </w:rPr>
        <w:t xml:space="preserve">. </w:t>
      </w:r>
      <w:r w:rsidR="008D6F13">
        <w:t>See regulations about grant payment details below in the financial annex</w:t>
      </w:r>
    </w:p>
    <w:p w14:paraId="401894E7" w14:textId="20B631F1" w:rsidR="008D6F13" w:rsidRDefault="008D6F13" w:rsidP="008D6F13">
      <w:pPr>
        <w:spacing w:after="0" w:line="240" w:lineRule="auto"/>
        <w:jc w:val="both"/>
        <w:rPr>
          <w:color w:val="000000"/>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5"/>
        <w:gridCol w:w="1428"/>
        <w:gridCol w:w="2000"/>
        <w:gridCol w:w="1201"/>
        <w:gridCol w:w="2562"/>
      </w:tblGrid>
      <w:tr w:rsidR="008D6F13" w:rsidRPr="008D6F13" w14:paraId="5C20FCBE" w14:textId="77777777" w:rsidTr="008D6F1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9B430C" w14:textId="77777777" w:rsidR="008D6F13" w:rsidRPr="008D6F13" w:rsidRDefault="008D6F13" w:rsidP="008D6F13">
            <w:pPr>
              <w:spacing w:after="0" w:line="240" w:lineRule="auto"/>
              <w:rPr>
                <w:rFonts w:asciiTheme="minorHAnsi" w:eastAsia="Times New Roman" w:hAnsiTheme="minorHAnsi" w:cstheme="minorHAnsi"/>
                <w:lang w:val="fr-FR"/>
              </w:rPr>
            </w:pPr>
            <w:r w:rsidRPr="008D6F13">
              <w:rPr>
                <w:rFonts w:asciiTheme="minorHAnsi" w:eastAsia="Times New Roman" w:hAnsiTheme="minorHAnsi" w:cstheme="minorHAnsi"/>
                <w:b/>
                <w:bCs/>
                <w:lang w:val="fr-FR"/>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80943" w14:textId="5E2A5869"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 xml:space="preserve">Group 1 : </w:t>
            </w:r>
            <w:r>
              <w:rPr>
                <w:rFonts w:asciiTheme="minorHAnsi" w:eastAsia="Times New Roman" w:hAnsiTheme="minorHAnsi" w:cstheme="minorHAnsi"/>
                <w:b/>
                <w:bCs/>
                <w:lang w:val="fr-FR"/>
              </w:rPr>
              <w:t>Norway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82A61" w14:textId="4E609C9C"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Group 2 :</w:t>
            </w:r>
            <w:r>
              <w:rPr>
                <w:rFonts w:asciiTheme="minorHAnsi" w:eastAsia="Times New Roman" w:hAnsiTheme="minorHAnsi" w:cstheme="minorHAnsi"/>
                <w:lang w:val="fr-FR"/>
              </w:rPr>
              <w:t xml:space="preserve"> </w:t>
            </w:r>
            <w:r>
              <w:rPr>
                <w:rFonts w:asciiTheme="minorHAnsi" w:eastAsia="Times New Roman" w:hAnsiTheme="minorHAnsi" w:cstheme="minorHAnsi"/>
                <w:b/>
                <w:bCs/>
                <w:lang w:val="fr-FR"/>
              </w:rPr>
              <w:t>Germany, Spain</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E9951" w14:textId="6BAEC963" w:rsidR="008D6F13" w:rsidRPr="008D6F13" w:rsidRDefault="008D6F13" w:rsidP="008D6F13">
            <w:pPr>
              <w:spacing w:after="0" w:line="240" w:lineRule="auto"/>
              <w:jc w:val="center"/>
              <w:rPr>
                <w:rFonts w:asciiTheme="minorHAnsi" w:eastAsia="Times New Roman" w:hAnsiTheme="minorHAnsi" w:cstheme="minorHAnsi"/>
                <w:lang w:val="fr-FR"/>
              </w:rPr>
            </w:pPr>
            <w:r>
              <w:rPr>
                <w:rFonts w:asciiTheme="minorHAnsi" w:eastAsia="Times New Roman" w:hAnsiTheme="minorHAnsi" w:cstheme="minorHAnsi"/>
                <w:lang w:val="fr-FR"/>
              </w:rPr>
              <w:t>Group</w:t>
            </w:r>
            <w:r w:rsidRPr="008D6F13">
              <w:rPr>
                <w:rFonts w:asciiTheme="minorHAnsi" w:eastAsia="Times New Roman" w:hAnsiTheme="minorHAnsi" w:cstheme="minorHAnsi"/>
                <w:lang w:val="fr-FR"/>
              </w:rPr>
              <w:t xml:space="preserve"> 2 : </w:t>
            </w:r>
            <w:r>
              <w:rPr>
                <w:rFonts w:asciiTheme="minorHAnsi" w:eastAsia="Times New Roman" w:hAnsiTheme="minorHAnsi" w:cstheme="minorHAnsi"/>
                <w:b/>
                <w:bCs/>
                <w:lang w:val="fr-FR"/>
              </w:rPr>
              <w:t>Italy</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C763E" w14:textId="08D8C741"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 xml:space="preserve">Group 3 : </w:t>
            </w:r>
            <w:r>
              <w:rPr>
                <w:rFonts w:asciiTheme="minorHAnsi" w:eastAsia="Times New Roman" w:hAnsiTheme="minorHAnsi" w:cstheme="minorHAnsi"/>
                <w:b/>
                <w:bCs/>
                <w:lang w:val="fr-FR"/>
              </w:rPr>
              <w:t>Czech Republic</w:t>
            </w:r>
            <w:r w:rsidRPr="008D6F13">
              <w:rPr>
                <w:rFonts w:asciiTheme="minorHAnsi" w:eastAsia="Times New Roman" w:hAnsiTheme="minorHAnsi" w:cstheme="minorHAnsi"/>
                <w:b/>
                <w:bCs/>
                <w:lang w:val="fr-FR"/>
              </w:rPr>
              <w:t xml:space="preserve">, </w:t>
            </w:r>
            <w:r>
              <w:rPr>
                <w:rFonts w:asciiTheme="minorHAnsi" w:eastAsia="Times New Roman" w:hAnsiTheme="minorHAnsi" w:cstheme="minorHAnsi"/>
                <w:b/>
                <w:bCs/>
                <w:lang w:val="fr-FR"/>
              </w:rPr>
              <w:t>Hungary</w:t>
            </w:r>
          </w:p>
        </w:tc>
      </w:tr>
      <w:tr w:rsidR="008D6F13" w:rsidRPr="008D6F13" w14:paraId="4ACD2826" w14:textId="77777777" w:rsidTr="008D6F1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8CE527" w14:textId="740325F8" w:rsidR="008D6F13" w:rsidRPr="008D6F13" w:rsidRDefault="008D6F13" w:rsidP="008D6F13">
            <w:pPr>
              <w:spacing w:after="0" w:line="240" w:lineRule="auto"/>
              <w:rPr>
                <w:rFonts w:asciiTheme="minorHAnsi" w:eastAsia="Times New Roman" w:hAnsiTheme="minorHAnsi" w:cstheme="minorHAnsi"/>
                <w:lang w:val="fr-FR"/>
              </w:rPr>
            </w:pPr>
            <w:r>
              <w:rPr>
                <w:rFonts w:asciiTheme="minorHAnsi" w:eastAsia="Times New Roman" w:hAnsiTheme="minorHAnsi" w:cstheme="minorHAnsi"/>
                <w:b/>
                <w:bCs/>
                <w:lang w:val="fr-FR"/>
              </w:rPr>
              <w:t>Scholarship per month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00B18" w14:textId="3C524234"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550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6705C" w14:textId="13295791"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500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14EB0" w14:textId="58596B34"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500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AAE7" w14:textId="766C29B9"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400</w:t>
            </w:r>
            <w:r>
              <w:rPr>
                <w:rFonts w:asciiTheme="minorHAnsi" w:eastAsia="Times New Roman" w:hAnsiTheme="minorHAnsi" w:cstheme="minorHAnsi"/>
                <w:lang w:val="fr-FR"/>
              </w:rPr>
              <w:t>,00€</w:t>
            </w:r>
          </w:p>
        </w:tc>
      </w:tr>
      <w:tr w:rsidR="008D6F13" w:rsidRPr="008D6F13" w14:paraId="5688E7F8" w14:textId="77777777" w:rsidTr="008D6F1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8A178A" w14:textId="3E74FC4E" w:rsidR="008D6F13" w:rsidRPr="008D6F13" w:rsidRDefault="008D6F13" w:rsidP="008D6F13">
            <w:pPr>
              <w:spacing w:after="0" w:line="240" w:lineRule="auto"/>
              <w:rPr>
                <w:rFonts w:asciiTheme="minorHAnsi" w:eastAsia="Times New Roman" w:hAnsiTheme="minorHAnsi" w:cstheme="minorHAnsi"/>
                <w:lang w:val="fr-FR"/>
              </w:rPr>
            </w:pPr>
            <w:r>
              <w:rPr>
                <w:rFonts w:asciiTheme="minorHAnsi" w:eastAsia="Times New Roman" w:hAnsiTheme="minorHAnsi" w:cstheme="minorHAnsi"/>
                <w:b/>
                <w:bCs/>
                <w:lang w:val="fr-FR"/>
              </w:rPr>
              <w:t>Travel allowance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5EBE4" w14:textId="0100270E"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400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74CBD" w14:textId="1FA10CD0"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300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7D05D" w14:textId="2C86EA32"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400</w:t>
            </w:r>
            <w:r>
              <w:rPr>
                <w:rFonts w:asciiTheme="minorHAnsi" w:eastAsia="Times New Roman" w:hAnsiTheme="minorHAnsi" w:cstheme="minorHAnsi"/>
                <w:lang w:val="fr-FR"/>
              </w:rP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17A97" w14:textId="7DA437DD" w:rsidR="008D6F13" w:rsidRPr="008D6F13" w:rsidRDefault="008D6F13" w:rsidP="008D6F13">
            <w:pPr>
              <w:spacing w:after="0" w:line="240" w:lineRule="auto"/>
              <w:jc w:val="center"/>
              <w:rPr>
                <w:rFonts w:asciiTheme="minorHAnsi" w:eastAsia="Times New Roman" w:hAnsiTheme="minorHAnsi" w:cstheme="minorHAnsi"/>
                <w:lang w:val="fr-FR"/>
              </w:rPr>
            </w:pPr>
            <w:r w:rsidRPr="008D6F13">
              <w:rPr>
                <w:rFonts w:asciiTheme="minorHAnsi" w:eastAsia="Times New Roman" w:hAnsiTheme="minorHAnsi" w:cstheme="minorHAnsi"/>
                <w:lang w:val="fr-FR"/>
              </w:rPr>
              <w:t>300</w:t>
            </w:r>
            <w:r>
              <w:rPr>
                <w:rFonts w:asciiTheme="minorHAnsi" w:eastAsia="Times New Roman" w:hAnsiTheme="minorHAnsi" w:cstheme="minorHAnsi"/>
                <w:lang w:val="fr-FR"/>
              </w:rPr>
              <w:t>,00€</w:t>
            </w:r>
          </w:p>
        </w:tc>
      </w:tr>
    </w:tbl>
    <w:p w14:paraId="148E2A55" w14:textId="19EA0E3A" w:rsidR="00D37260" w:rsidRDefault="00D37260">
      <w:pPr>
        <w:spacing w:after="0" w:line="240" w:lineRule="auto"/>
        <w:jc w:val="both"/>
      </w:pPr>
    </w:p>
    <w:p w14:paraId="4330820A" w14:textId="56A76D12" w:rsidR="00F84561" w:rsidRDefault="00F84561">
      <w:pPr>
        <w:spacing w:after="0" w:line="240" w:lineRule="auto"/>
        <w:jc w:val="both"/>
      </w:pPr>
    </w:p>
    <w:p w14:paraId="70102DEB" w14:textId="3E55BEA5" w:rsidR="00F84561" w:rsidRDefault="00F84561">
      <w:pPr>
        <w:spacing w:after="0" w:line="240" w:lineRule="auto"/>
        <w:jc w:val="both"/>
      </w:pPr>
    </w:p>
    <w:p w14:paraId="7A7F8C84" w14:textId="376D3B73" w:rsidR="00F84561" w:rsidRDefault="00F84561">
      <w:pPr>
        <w:spacing w:after="0" w:line="240" w:lineRule="auto"/>
        <w:jc w:val="both"/>
      </w:pPr>
    </w:p>
    <w:p w14:paraId="748E745B" w14:textId="4E942C9F" w:rsidR="00F84561" w:rsidRDefault="00F84561">
      <w:pPr>
        <w:spacing w:after="0" w:line="240" w:lineRule="auto"/>
        <w:jc w:val="both"/>
      </w:pPr>
    </w:p>
    <w:p w14:paraId="2580A110" w14:textId="77777777" w:rsidR="00F84561" w:rsidRDefault="00F84561">
      <w:pPr>
        <w:spacing w:after="0" w:line="240" w:lineRule="auto"/>
        <w:jc w:val="both"/>
      </w:pPr>
      <w:bookmarkStart w:id="0" w:name="_GoBack"/>
      <w:bookmarkEnd w:id="0"/>
    </w:p>
    <w:p w14:paraId="2CFAAC10" w14:textId="77777777" w:rsidR="00D37260" w:rsidRDefault="00E5433B">
      <w:pPr>
        <w:numPr>
          <w:ilvl w:val="0"/>
          <w:numId w:val="5"/>
        </w:numPr>
        <w:spacing w:after="0" w:line="240" w:lineRule="auto"/>
        <w:jc w:val="both"/>
      </w:pPr>
      <w:r>
        <w:rPr>
          <w:color w:val="000000"/>
        </w:rPr>
        <w:t xml:space="preserve">Selected students will design a learning agreement that will be validated by </w:t>
      </w:r>
      <w:r>
        <w:t xml:space="preserve">both sending and receiving universities. </w:t>
      </w:r>
    </w:p>
    <w:p w14:paraId="27A7A998" w14:textId="77777777" w:rsidR="00D37260" w:rsidRDefault="00D37260">
      <w:pPr>
        <w:spacing w:after="0" w:line="240" w:lineRule="auto"/>
        <w:jc w:val="both"/>
      </w:pPr>
    </w:p>
    <w:p w14:paraId="66220681" w14:textId="77777777" w:rsidR="00D37260" w:rsidRDefault="00E5433B">
      <w:pPr>
        <w:numPr>
          <w:ilvl w:val="0"/>
          <w:numId w:val="5"/>
        </w:numPr>
        <w:spacing w:after="0" w:line="240" w:lineRule="auto"/>
        <w:jc w:val="both"/>
        <w:rPr>
          <w:color w:val="000000"/>
        </w:rPr>
      </w:pPr>
      <w:r>
        <w:rPr>
          <w:color w:val="000000"/>
        </w:rPr>
        <w:lastRenderedPageBreak/>
        <w:t xml:space="preserve">Selected students must provide </w:t>
      </w:r>
      <w:r>
        <w:t>a</w:t>
      </w:r>
      <w:r>
        <w:rPr>
          <w:color w:val="000000"/>
        </w:rPr>
        <w:t xml:space="preserve"> final report on their experience as a </w:t>
      </w:r>
      <w:r>
        <w:t>gap semester</w:t>
      </w:r>
      <w:r>
        <w:rPr>
          <w:color w:val="000000"/>
        </w:rPr>
        <w:t xml:space="preserve"> student</w:t>
      </w:r>
      <w:r>
        <w:t xml:space="preserve">. </w:t>
      </w:r>
      <w:r w:rsidR="0054293B" w:rsidRPr="00A64FE7">
        <w:t>Students doing a two-semester mobility will provide a mid-term report.</w:t>
      </w:r>
    </w:p>
    <w:p w14:paraId="42607E58" w14:textId="77777777" w:rsidR="00D37260" w:rsidRDefault="00D37260">
      <w:pPr>
        <w:spacing w:after="0" w:line="240" w:lineRule="auto"/>
        <w:jc w:val="both"/>
      </w:pPr>
    </w:p>
    <w:p w14:paraId="0ADBDD00" w14:textId="4910F855" w:rsidR="00D37260" w:rsidRPr="00F84561" w:rsidRDefault="00E5433B">
      <w:pPr>
        <w:numPr>
          <w:ilvl w:val="0"/>
          <w:numId w:val="5"/>
        </w:numPr>
        <w:spacing w:after="0" w:line="240" w:lineRule="auto"/>
        <w:jc w:val="both"/>
        <w:rPr>
          <w:color w:val="000000"/>
        </w:rPr>
      </w:pPr>
      <w:r>
        <w:rPr>
          <w:color w:val="000000"/>
        </w:rPr>
        <w:t>Students must attend all the selected course</w:t>
      </w:r>
      <w:r>
        <w:t>s indicated in their learning agreement</w:t>
      </w:r>
      <w:r>
        <w:rPr>
          <w:color w:val="000000"/>
        </w:rPr>
        <w:t>, c</w:t>
      </w:r>
      <w:r>
        <w:t>onclude all assessments</w:t>
      </w:r>
      <w:r>
        <w:rPr>
          <w:color w:val="000000"/>
        </w:rPr>
        <w:t xml:space="preserve">, provide a transcript of </w:t>
      </w:r>
      <w:r>
        <w:t>r</w:t>
      </w:r>
      <w:r>
        <w:rPr>
          <w:color w:val="000000"/>
        </w:rPr>
        <w:t xml:space="preserve">ecords, a certificate of attendance </w:t>
      </w:r>
      <w:r>
        <w:t>and complete a questionnaire at the end of their mobility</w:t>
      </w:r>
      <w:r>
        <w:rPr>
          <w:color w:val="000000"/>
        </w:rPr>
        <w:t xml:space="preserve"> in order to obtain the EDUC certificate and to be eligible to obtain the balance </w:t>
      </w:r>
      <w:r>
        <w:t>payment</w:t>
      </w:r>
      <w:r>
        <w:rPr>
          <w:color w:val="000000"/>
        </w:rPr>
        <w:t xml:space="preserve"> (if any) of the EDUC</w:t>
      </w:r>
      <w:r>
        <w:t xml:space="preserve"> scholarship.</w:t>
      </w:r>
    </w:p>
    <w:p w14:paraId="4C7E131F" w14:textId="77777777" w:rsidR="00F84561" w:rsidRDefault="00F84561" w:rsidP="00F84561">
      <w:pPr>
        <w:pStyle w:val="Paragraphedeliste"/>
        <w:rPr>
          <w:color w:val="000000"/>
        </w:rPr>
      </w:pPr>
    </w:p>
    <w:p w14:paraId="2B13C38D" w14:textId="319D7BFB" w:rsidR="00F84561" w:rsidRDefault="00F84561">
      <w:pPr>
        <w:rPr>
          <w:color w:val="000000"/>
        </w:rPr>
      </w:pPr>
      <w:r>
        <w:rPr>
          <w:color w:val="000000"/>
        </w:rPr>
        <w:br w:type="page"/>
      </w:r>
    </w:p>
    <w:p w14:paraId="01AA0BC4" w14:textId="77777777" w:rsidR="00F84561" w:rsidRDefault="00F84561" w:rsidP="00F84561">
      <w:pPr>
        <w:spacing w:after="0" w:line="240" w:lineRule="auto"/>
        <w:jc w:val="both"/>
        <w:rPr>
          <w:color w:val="000000"/>
        </w:rPr>
      </w:pPr>
    </w:p>
    <w:p w14:paraId="2FB9F31C" w14:textId="77777777" w:rsidR="00D37260" w:rsidRDefault="00D37260">
      <w:pPr>
        <w:spacing w:after="0" w:line="240" w:lineRule="auto"/>
        <w:jc w:val="both"/>
      </w:pPr>
    </w:p>
    <w:tbl>
      <w:tblPr>
        <w:tblStyle w:val="a7"/>
        <w:tblW w:w="10751" w:type="dxa"/>
        <w:tblInd w:w="-810" w:type="dxa"/>
        <w:tblLayout w:type="fixed"/>
        <w:tblLook w:val="0400" w:firstRow="0" w:lastRow="0" w:firstColumn="0" w:lastColumn="0" w:noHBand="0" w:noVBand="1"/>
      </w:tblPr>
      <w:tblGrid>
        <w:gridCol w:w="1826"/>
        <w:gridCol w:w="1410"/>
        <w:gridCol w:w="1590"/>
        <w:gridCol w:w="1245"/>
        <w:gridCol w:w="1140"/>
        <w:gridCol w:w="3540"/>
      </w:tblGrid>
      <w:tr w:rsidR="00D37260" w14:paraId="199CFC3E" w14:textId="77777777">
        <w:trPr>
          <w:trHeight w:val="6879"/>
        </w:trPr>
        <w:tc>
          <w:tcPr>
            <w:tcW w:w="10751"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465950A3" w14:textId="77777777" w:rsidR="00D37260" w:rsidRDefault="00E5433B">
            <w:pPr>
              <w:jc w:val="center"/>
              <w:rPr>
                <w:b/>
                <w:i/>
              </w:rPr>
            </w:pPr>
            <w:r>
              <w:rPr>
                <w:b/>
                <w:i/>
              </w:rPr>
              <w:t xml:space="preserve">Commitment </w:t>
            </w:r>
          </w:p>
          <w:p w14:paraId="6B775B2C" w14:textId="77777777" w:rsidR="00D37260" w:rsidRDefault="00D37260">
            <w:pPr>
              <w:ind w:right="602"/>
              <w:jc w:val="center"/>
              <w:rPr>
                <w:b/>
                <w:i/>
              </w:rPr>
            </w:pPr>
          </w:p>
          <w:p w14:paraId="5CF19EA5" w14:textId="77777777" w:rsidR="00D37260" w:rsidRDefault="00E5433B">
            <w:pPr>
              <w:widowControl w:val="0"/>
              <w:spacing w:after="0" w:line="240" w:lineRule="auto"/>
              <w:ind w:right="602"/>
              <w:jc w:val="both"/>
            </w:pPr>
            <w:r>
              <w:t xml:space="preserve">By signing this document, the student, the sending institution and the receiving institution confirm that they approve the terms of the mobility and will commit themselves to respect the established procedure. </w:t>
            </w:r>
          </w:p>
          <w:p w14:paraId="3C5FFCEE" w14:textId="77777777" w:rsidR="00D37260" w:rsidRDefault="00D37260">
            <w:pPr>
              <w:widowControl w:val="0"/>
              <w:spacing w:after="0" w:line="240" w:lineRule="auto"/>
              <w:ind w:right="602"/>
              <w:jc w:val="both"/>
            </w:pPr>
          </w:p>
          <w:p w14:paraId="4976F9E5" w14:textId="77777777" w:rsidR="00D37260" w:rsidRDefault="00E5433B">
            <w:pPr>
              <w:widowControl w:val="0"/>
              <w:spacing w:after="0" w:line="240" w:lineRule="auto"/>
              <w:ind w:right="602"/>
              <w:jc w:val="both"/>
            </w:pPr>
            <w:r>
              <w:t>I, the student, will:</w:t>
            </w:r>
          </w:p>
          <w:p w14:paraId="745DB24F" w14:textId="77777777" w:rsidR="00D37260" w:rsidRDefault="00D37260">
            <w:pPr>
              <w:widowControl w:val="0"/>
              <w:spacing w:after="0" w:line="240" w:lineRule="auto"/>
              <w:ind w:right="602"/>
              <w:jc w:val="both"/>
            </w:pPr>
          </w:p>
          <w:p w14:paraId="498E8506" w14:textId="77777777" w:rsidR="00D37260" w:rsidRDefault="00E5433B">
            <w:pPr>
              <w:widowControl w:val="0"/>
              <w:numPr>
                <w:ilvl w:val="0"/>
                <w:numId w:val="6"/>
              </w:numPr>
              <w:pBdr>
                <w:top w:val="nil"/>
                <w:left w:val="nil"/>
                <w:bottom w:val="nil"/>
                <w:right w:val="nil"/>
                <w:between w:val="nil"/>
              </w:pBdr>
              <w:spacing w:after="0" w:line="240" w:lineRule="auto"/>
              <w:ind w:right="602"/>
              <w:jc w:val="both"/>
            </w:pPr>
            <w:r>
              <w:rPr>
                <w:color w:val="000000"/>
              </w:rPr>
              <w:t>Assure the accuracy of all the information provided in the current document</w:t>
            </w:r>
          </w:p>
          <w:p w14:paraId="7B9208A0" w14:textId="77777777" w:rsidR="00D37260" w:rsidRDefault="00E5433B">
            <w:pPr>
              <w:widowControl w:val="0"/>
              <w:numPr>
                <w:ilvl w:val="0"/>
                <w:numId w:val="7"/>
              </w:numPr>
              <w:spacing w:after="0" w:line="240" w:lineRule="auto"/>
              <w:ind w:right="602"/>
              <w:jc w:val="both"/>
            </w:pPr>
            <w:r>
              <w:t>Commit myself to send to the International Office of the sending university all the necessary documents in relation with the EDUC scholarship allocation listed in the financial annex</w:t>
            </w:r>
          </w:p>
          <w:p w14:paraId="2C61CCF9" w14:textId="77777777" w:rsidR="00D37260" w:rsidRDefault="00E5433B">
            <w:pPr>
              <w:widowControl w:val="0"/>
              <w:numPr>
                <w:ilvl w:val="0"/>
                <w:numId w:val="7"/>
              </w:numPr>
              <w:spacing w:after="0" w:line="240" w:lineRule="auto"/>
              <w:ind w:right="602"/>
              <w:jc w:val="both"/>
            </w:pPr>
            <w:r>
              <w:t>Commit myself to pursue the gap semester experience until the end of the estimated ending date</w:t>
            </w:r>
          </w:p>
          <w:p w14:paraId="3F014732" w14:textId="77777777" w:rsidR="00D37260" w:rsidRDefault="00E5433B">
            <w:pPr>
              <w:widowControl w:val="0"/>
              <w:numPr>
                <w:ilvl w:val="0"/>
                <w:numId w:val="7"/>
              </w:numPr>
              <w:spacing w:after="0" w:line="240" w:lineRule="auto"/>
              <w:ind w:right="602"/>
              <w:jc w:val="both"/>
            </w:pPr>
            <w:r>
              <w:t>Agree with the terms and conditions of the gap semester</w:t>
            </w:r>
          </w:p>
          <w:p w14:paraId="2F1521BB" w14:textId="77777777" w:rsidR="00D37260" w:rsidRDefault="00D37260">
            <w:pPr>
              <w:widowControl w:val="0"/>
              <w:spacing w:line="240" w:lineRule="auto"/>
              <w:ind w:right="602"/>
              <w:jc w:val="both"/>
            </w:pPr>
          </w:p>
          <w:p w14:paraId="58BBD13C" w14:textId="77777777" w:rsidR="00D37260" w:rsidRDefault="00E5433B">
            <w:pPr>
              <w:widowControl w:val="0"/>
              <w:spacing w:line="240" w:lineRule="auto"/>
              <w:ind w:right="602"/>
              <w:jc w:val="both"/>
            </w:pPr>
            <w:r>
              <w:t>In case I, the student, do not commit myself to the above points, I may have to repay all or part of the grant (see conditions stated in the financial annex).</w:t>
            </w:r>
          </w:p>
          <w:p w14:paraId="3856BD85" w14:textId="77777777" w:rsidR="00D37260" w:rsidRDefault="00E5433B">
            <w:pPr>
              <w:ind w:right="602"/>
              <w:jc w:val="both"/>
            </w:pPr>
            <w:r>
              <w:t>The Receiving Institution confirms that the educational components listed in the learning agreement are in line with its course catalogue and should be available to the student. The student and the Receiving Institution will communicate to the Sending Institution any problems or changes regarding the study programme in the learning agreement during the mobility.</w:t>
            </w:r>
          </w:p>
          <w:p w14:paraId="72B15F2B" w14:textId="77777777" w:rsidR="00D37260" w:rsidRDefault="00D37260">
            <w:pPr>
              <w:jc w:val="both"/>
            </w:pPr>
          </w:p>
        </w:tc>
      </w:tr>
      <w:tr w:rsidR="00D37260" w14:paraId="24D74037" w14:textId="77777777">
        <w:trPr>
          <w:trHeight w:val="178"/>
        </w:trPr>
        <w:tc>
          <w:tcPr>
            <w:tcW w:w="1826" w:type="dxa"/>
            <w:tcBorders>
              <w:top w:val="single" w:sz="6" w:space="0" w:color="000000"/>
              <w:left w:val="single" w:sz="6" w:space="0" w:color="000000"/>
              <w:bottom w:val="single" w:sz="8" w:space="0" w:color="000000"/>
              <w:right w:val="single" w:sz="8" w:space="0" w:color="000000"/>
            </w:tcBorders>
            <w:shd w:val="clear" w:color="auto" w:fill="auto"/>
            <w:vAlign w:val="center"/>
          </w:tcPr>
          <w:p w14:paraId="3685A7AC" w14:textId="77777777" w:rsidR="00D37260" w:rsidRDefault="00E5433B">
            <w:pPr>
              <w:jc w:val="center"/>
              <w:rPr>
                <w:b/>
              </w:rPr>
            </w:pPr>
            <w:r>
              <w:rPr>
                <w:b/>
              </w:rPr>
              <w:t>Commitment</w:t>
            </w:r>
          </w:p>
          <w:p w14:paraId="407E4076" w14:textId="77777777" w:rsidR="00D37260" w:rsidRDefault="00D37260">
            <w:pPr>
              <w:jc w:val="center"/>
              <w:rPr>
                <w:b/>
              </w:rPr>
            </w:pPr>
          </w:p>
        </w:tc>
        <w:tc>
          <w:tcPr>
            <w:tcW w:w="1410" w:type="dxa"/>
            <w:tcBorders>
              <w:top w:val="single" w:sz="6" w:space="0" w:color="000000"/>
              <w:bottom w:val="single" w:sz="8" w:space="0" w:color="000000"/>
              <w:right w:val="single" w:sz="8" w:space="0" w:color="000000"/>
            </w:tcBorders>
            <w:shd w:val="clear" w:color="auto" w:fill="auto"/>
            <w:vAlign w:val="center"/>
          </w:tcPr>
          <w:p w14:paraId="467BB394" w14:textId="77777777" w:rsidR="00D37260" w:rsidRDefault="00E5433B">
            <w:pPr>
              <w:jc w:val="center"/>
              <w:rPr>
                <w:b/>
              </w:rPr>
            </w:pPr>
            <w:r>
              <w:rPr>
                <w:b/>
              </w:rPr>
              <w:t>Name</w:t>
            </w:r>
          </w:p>
          <w:p w14:paraId="12A4FDE6" w14:textId="77777777" w:rsidR="00D37260" w:rsidRDefault="00D37260">
            <w:pPr>
              <w:jc w:val="center"/>
              <w:rPr>
                <w:b/>
              </w:rPr>
            </w:pPr>
          </w:p>
        </w:tc>
        <w:tc>
          <w:tcPr>
            <w:tcW w:w="1590" w:type="dxa"/>
            <w:tcBorders>
              <w:top w:val="single" w:sz="6" w:space="0" w:color="000000"/>
              <w:left w:val="single" w:sz="8" w:space="0" w:color="000000"/>
              <w:bottom w:val="single" w:sz="8" w:space="0" w:color="000000"/>
            </w:tcBorders>
            <w:shd w:val="clear" w:color="auto" w:fill="auto"/>
            <w:vAlign w:val="center"/>
          </w:tcPr>
          <w:p w14:paraId="5EAD1ED2" w14:textId="77777777" w:rsidR="00D37260" w:rsidRDefault="00E5433B">
            <w:pPr>
              <w:jc w:val="center"/>
              <w:rPr>
                <w:b/>
              </w:rPr>
            </w:pPr>
            <w:r>
              <w:rPr>
                <w:b/>
              </w:rPr>
              <w:t>Email</w:t>
            </w:r>
          </w:p>
          <w:p w14:paraId="328435F5" w14:textId="77777777" w:rsidR="00D37260" w:rsidRDefault="00D37260">
            <w:pPr>
              <w:jc w:val="center"/>
              <w:rPr>
                <w:b/>
              </w:rPr>
            </w:pPr>
          </w:p>
        </w:tc>
        <w:tc>
          <w:tcPr>
            <w:tcW w:w="1245" w:type="dxa"/>
            <w:tcBorders>
              <w:top w:val="single" w:sz="6" w:space="0" w:color="000000"/>
              <w:left w:val="single" w:sz="8" w:space="0" w:color="000000"/>
              <w:bottom w:val="single" w:sz="8" w:space="0" w:color="000000"/>
            </w:tcBorders>
            <w:shd w:val="clear" w:color="auto" w:fill="auto"/>
            <w:vAlign w:val="center"/>
          </w:tcPr>
          <w:p w14:paraId="1516BF6A" w14:textId="77777777" w:rsidR="00D37260" w:rsidRDefault="00E5433B">
            <w:pPr>
              <w:jc w:val="center"/>
              <w:rPr>
                <w:b/>
              </w:rPr>
            </w:pPr>
            <w:r>
              <w:rPr>
                <w:b/>
              </w:rPr>
              <w:t>Position</w:t>
            </w:r>
          </w:p>
          <w:p w14:paraId="24B9FCF5" w14:textId="77777777" w:rsidR="00D37260" w:rsidRDefault="00D37260">
            <w:pPr>
              <w:jc w:val="center"/>
              <w:rPr>
                <w:b/>
              </w:rPr>
            </w:pPr>
          </w:p>
        </w:tc>
        <w:tc>
          <w:tcPr>
            <w:tcW w:w="1140" w:type="dxa"/>
            <w:tcBorders>
              <w:top w:val="single" w:sz="6" w:space="0" w:color="000000"/>
              <w:left w:val="single" w:sz="8" w:space="0" w:color="000000"/>
              <w:bottom w:val="single" w:sz="8" w:space="0" w:color="000000"/>
              <w:right w:val="single" w:sz="8" w:space="0" w:color="000000"/>
            </w:tcBorders>
            <w:shd w:val="clear" w:color="auto" w:fill="auto"/>
            <w:vAlign w:val="center"/>
          </w:tcPr>
          <w:p w14:paraId="0E2A065E" w14:textId="77777777" w:rsidR="00D37260" w:rsidRDefault="00E5433B">
            <w:pPr>
              <w:jc w:val="center"/>
              <w:rPr>
                <w:b/>
              </w:rPr>
            </w:pPr>
            <w:r>
              <w:rPr>
                <w:b/>
              </w:rPr>
              <w:t>Date</w:t>
            </w:r>
          </w:p>
          <w:p w14:paraId="7D4302EF" w14:textId="77777777" w:rsidR="00D37260" w:rsidRDefault="00D37260">
            <w:pPr>
              <w:jc w:val="center"/>
              <w:rPr>
                <w:b/>
              </w:rPr>
            </w:pPr>
          </w:p>
        </w:tc>
        <w:tc>
          <w:tcPr>
            <w:tcW w:w="3540" w:type="dxa"/>
            <w:tcBorders>
              <w:top w:val="single" w:sz="6" w:space="0" w:color="000000"/>
              <w:left w:val="single" w:sz="8" w:space="0" w:color="000000"/>
              <w:bottom w:val="single" w:sz="8" w:space="0" w:color="000000"/>
              <w:right w:val="single" w:sz="6" w:space="0" w:color="000000"/>
            </w:tcBorders>
            <w:shd w:val="clear" w:color="auto" w:fill="auto"/>
            <w:vAlign w:val="center"/>
          </w:tcPr>
          <w:p w14:paraId="0ED49346" w14:textId="77777777" w:rsidR="00D37260" w:rsidRDefault="00E5433B">
            <w:pPr>
              <w:jc w:val="center"/>
              <w:rPr>
                <w:b/>
              </w:rPr>
            </w:pPr>
            <w:r>
              <w:rPr>
                <w:b/>
              </w:rPr>
              <w:t>Signature</w:t>
            </w:r>
          </w:p>
          <w:p w14:paraId="0C228F11" w14:textId="77777777" w:rsidR="00D37260" w:rsidRDefault="00D37260">
            <w:pPr>
              <w:jc w:val="center"/>
              <w:rPr>
                <w:b/>
              </w:rPr>
            </w:pPr>
          </w:p>
        </w:tc>
      </w:tr>
      <w:tr w:rsidR="00D37260" w14:paraId="7F969E07" w14:textId="77777777">
        <w:trPr>
          <w:trHeight w:val="107"/>
        </w:trPr>
        <w:tc>
          <w:tcPr>
            <w:tcW w:w="1826" w:type="dxa"/>
            <w:tcBorders>
              <w:top w:val="single" w:sz="8" w:space="0" w:color="000000"/>
              <w:left w:val="single" w:sz="6" w:space="0" w:color="000000"/>
              <w:bottom w:val="single" w:sz="8" w:space="0" w:color="000000"/>
              <w:right w:val="single" w:sz="8" w:space="0" w:color="000000"/>
            </w:tcBorders>
            <w:shd w:val="clear" w:color="auto" w:fill="FFFFCC"/>
            <w:vAlign w:val="center"/>
          </w:tcPr>
          <w:p w14:paraId="70C74AEE" w14:textId="77777777" w:rsidR="00D37260" w:rsidRDefault="00E5433B">
            <w:pPr>
              <w:jc w:val="center"/>
            </w:pPr>
            <w:r>
              <w:t>Student</w:t>
            </w:r>
          </w:p>
          <w:p w14:paraId="28927B35" w14:textId="77777777" w:rsidR="00D37260" w:rsidRDefault="00D37260">
            <w:pPr>
              <w:jc w:val="center"/>
            </w:pPr>
          </w:p>
        </w:tc>
        <w:tc>
          <w:tcPr>
            <w:tcW w:w="1410" w:type="dxa"/>
            <w:tcBorders>
              <w:top w:val="single" w:sz="8" w:space="0" w:color="000000"/>
              <w:bottom w:val="single" w:sz="8" w:space="0" w:color="000000"/>
              <w:right w:val="single" w:sz="8" w:space="0" w:color="000000"/>
            </w:tcBorders>
            <w:shd w:val="clear" w:color="auto" w:fill="FFFFCC"/>
            <w:vAlign w:val="center"/>
          </w:tcPr>
          <w:p w14:paraId="168D65B7" w14:textId="77777777" w:rsidR="00D37260" w:rsidRDefault="00D37260">
            <w:pPr>
              <w:jc w:val="center"/>
            </w:pPr>
          </w:p>
        </w:tc>
        <w:tc>
          <w:tcPr>
            <w:tcW w:w="1590" w:type="dxa"/>
            <w:tcBorders>
              <w:top w:val="single" w:sz="8" w:space="0" w:color="000000"/>
              <w:left w:val="single" w:sz="8" w:space="0" w:color="000000"/>
              <w:bottom w:val="single" w:sz="8" w:space="0" w:color="000000"/>
            </w:tcBorders>
            <w:shd w:val="clear" w:color="auto" w:fill="FFFFCC"/>
            <w:vAlign w:val="center"/>
          </w:tcPr>
          <w:p w14:paraId="4983DF91" w14:textId="77777777" w:rsidR="00D37260" w:rsidRDefault="00D37260">
            <w:pPr>
              <w:jc w:val="center"/>
            </w:pPr>
          </w:p>
          <w:p w14:paraId="63249F75" w14:textId="77777777" w:rsidR="00D37260" w:rsidRDefault="00D37260">
            <w:pPr>
              <w:jc w:val="center"/>
            </w:pPr>
          </w:p>
        </w:tc>
        <w:tc>
          <w:tcPr>
            <w:tcW w:w="1245" w:type="dxa"/>
            <w:tcBorders>
              <w:top w:val="single" w:sz="8" w:space="0" w:color="000000"/>
              <w:left w:val="single" w:sz="8" w:space="0" w:color="000000"/>
              <w:bottom w:val="single" w:sz="8" w:space="0" w:color="000000"/>
            </w:tcBorders>
            <w:shd w:val="clear" w:color="auto" w:fill="FFFFCC"/>
            <w:vAlign w:val="center"/>
          </w:tcPr>
          <w:p w14:paraId="0F0626EB" w14:textId="77777777" w:rsidR="00D37260" w:rsidRDefault="00E5433B">
            <w:pPr>
              <w:jc w:val="center"/>
              <w:rPr>
                <w:i/>
              </w:rPr>
            </w:pPr>
            <w:r>
              <w:rPr>
                <w:i/>
              </w:rPr>
              <w:t>Student</w:t>
            </w:r>
          </w:p>
          <w:p w14:paraId="7A0FCFEC" w14:textId="77777777" w:rsidR="00D37260" w:rsidRDefault="00D37260">
            <w:pPr>
              <w:jc w:val="center"/>
            </w:pPr>
          </w:p>
        </w:tc>
        <w:tc>
          <w:tcPr>
            <w:tcW w:w="1140" w:type="dxa"/>
            <w:tcBorders>
              <w:top w:val="single" w:sz="8" w:space="0" w:color="000000"/>
              <w:left w:val="single" w:sz="8" w:space="0" w:color="000000"/>
              <w:bottom w:val="single" w:sz="8" w:space="0" w:color="000000"/>
              <w:right w:val="single" w:sz="8" w:space="0" w:color="000000"/>
            </w:tcBorders>
            <w:shd w:val="clear" w:color="auto" w:fill="FFFFCC"/>
            <w:vAlign w:val="center"/>
          </w:tcPr>
          <w:p w14:paraId="4BA886AC" w14:textId="77777777" w:rsidR="00D37260" w:rsidRDefault="00D37260">
            <w:pPr>
              <w:jc w:val="center"/>
            </w:pPr>
          </w:p>
        </w:tc>
        <w:tc>
          <w:tcPr>
            <w:tcW w:w="3540" w:type="dxa"/>
            <w:tcBorders>
              <w:top w:val="single" w:sz="8" w:space="0" w:color="000000"/>
              <w:bottom w:val="single" w:sz="8" w:space="0" w:color="000000"/>
              <w:right w:val="single" w:sz="6" w:space="0" w:color="000000"/>
            </w:tcBorders>
            <w:shd w:val="clear" w:color="auto" w:fill="FFFFCC"/>
            <w:vAlign w:val="center"/>
          </w:tcPr>
          <w:p w14:paraId="1B434ABB" w14:textId="77777777" w:rsidR="00D37260" w:rsidRDefault="00D37260">
            <w:pPr>
              <w:jc w:val="center"/>
              <w:rPr>
                <w:b/>
              </w:rPr>
            </w:pPr>
          </w:p>
        </w:tc>
      </w:tr>
      <w:tr w:rsidR="00D37260" w14:paraId="4A91A520" w14:textId="77777777">
        <w:trPr>
          <w:trHeight w:val="157"/>
        </w:trPr>
        <w:tc>
          <w:tcPr>
            <w:tcW w:w="1826" w:type="dxa"/>
            <w:tcBorders>
              <w:top w:val="single" w:sz="8" w:space="0" w:color="000000"/>
              <w:left w:val="single" w:sz="6" w:space="0" w:color="000000"/>
              <w:bottom w:val="single" w:sz="8" w:space="0" w:color="000000"/>
              <w:right w:val="single" w:sz="8" w:space="0" w:color="000000"/>
            </w:tcBorders>
            <w:shd w:val="clear" w:color="auto" w:fill="DEEAF6"/>
            <w:vAlign w:val="center"/>
          </w:tcPr>
          <w:p w14:paraId="5039784A" w14:textId="77777777" w:rsidR="00D37260" w:rsidRDefault="00E5433B">
            <w:pPr>
              <w:jc w:val="center"/>
            </w:pPr>
            <w:r>
              <w:t>Responsible person at the</w:t>
            </w:r>
            <w:r>
              <w:rPr>
                <w:b/>
              </w:rPr>
              <w:t xml:space="preserve"> </w:t>
            </w:r>
            <w:r>
              <w:t>Sending Institution</w:t>
            </w:r>
          </w:p>
        </w:tc>
        <w:tc>
          <w:tcPr>
            <w:tcW w:w="1410" w:type="dxa"/>
            <w:tcBorders>
              <w:bottom w:val="single" w:sz="8" w:space="0" w:color="000000"/>
              <w:right w:val="single" w:sz="8" w:space="0" w:color="000000"/>
            </w:tcBorders>
            <w:shd w:val="clear" w:color="auto" w:fill="DEEAF6"/>
            <w:vAlign w:val="center"/>
          </w:tcPr>
          <w:p w14:paraId="47C89190" w14:textId="77777777" w:rsidR="00D37260" w:rsidRDefault="00D37260">
            <w:pPr>
              <w:jc w:val="center"/>
            </w:pPr>
          </w:p>
        </w:tc>
        <w:tc>
          <w:tcPr>
            <w:tcW w:w="1590" w:type="dxa"/>
            <w:tcBorders>
              <w:left w:val="single" w:sz="8" w:space="0" w:color="000000"/>
              <w:bottom w:val="single" w:sz="8" w:space="0" w:color="000000"/>
            </w:tcBorders>
            <w:shd w:val="clear" w:color="auto" w:fill="DEEAF6"/>
            <w:vAlign w:val="center"/>
          </w:tcPr>
          <w:p w14:paraId="7485239E" w14:textId="77777777" w:rsidR="00D37260" w:rsidRDefault="00D37260">
            <w:pPr>
              <w:jc w:val="center"/>
            </w:pPr>
          </w:p>
        </w:tc>
        <w:tc>
          <w:tcPr>
            <w:tcW w:w="1245" w:type="dxa"/>
            <w:tcBorders>
              <w:left w:val="single" w:sz="8" w:space="0" w:color="000000"/>
              <w:bottom w:val="single" w:sz="8" w:space="0" w:color="000000"/>
            </w:tcBorders>
            <w:shd w:val="clear" w:color="auto" w:fill="DEEAF6"/>
            <w:vAlign w:val="center"/>
          </w:tcPr>
          <w:p w14:paraId="32B44A3A" w14:textId="77777777" w:rsidR="00D37260" w:rsidRDefault="00D37260">
            <w:pPr>
              <w:jc w:val="center"/>
            </w:pPr>
          </w:p>
        </w:tc>
        <w:tc>
          <w:tcPr>
            <w:tcW w:w="1140" w:type="dxa"/>
            <w:tcBorders>
              <w:left w:val="single" w:sz="8" w:space="0" w:color="000000"/>
              <w:bottom w:val="single" w:sz="8" w:space="0" w:color="000000"/>
              <w:right w:val="single" w:sz="8" w:space="0" w:color="000000"/>
            </w:tcBorders>
            <w:shd w:val="clear" w:color="auto" w:fill="DEEAF6"/>
            <w:vAlign w:val="center"/>
          </w:tcPr>
          <w:p w14:paraId="49906737" w14:textId="77777777" w:rsidR="00D37260" w:rsidRDefault="00D37260">
            <w:pPr>
              <w:jc w:val="center"/>
            </w:pPr>
          </w:p>
        </w:tc>
        <w:tc>
          <w:tcPr>
            <w:tcW w:w="3540" w:type="dxa"/>
            <w:tcBorders>
              <w:top w:val="single" w:sz="8" w:space="0" w:color="000000"/>
              <w:bottom w:val="single" w:sz="8" w:space="0" w:color="000000"/>
              <w:right w:val="single" w:sz="6" w:space="0" w:color="000000"/>
            </w:tcBorders>
            <w:shd w:val="clear" w:color="auto" w:fill="DEEAF6"/>
            <w:vAlign w:val="center"/>
          </w:tcPr>
          <w:p w14:paraId="43D48225" w14:textId="77777777" w:rsidR="00D37260" w:rsidRDefault="00D37260">
            <w:pPr>
              <w:jc w:val="center"/>
              <w:rPr>
                <w:b/>
              </w:rPr>
            </w:pPr>
          </w:p>
        </w:tc>
      </w:tr>
      <w:tr w:rsidR="00D37260" w14:paraId="72D02663" w14:textId="77777777">
        <w:trPr>
          <w:trHeight w:val="202"/>
        </w:trPr>
        <w:tc>
          <w:tcPr>
            <w:tcW w:w="1826" w:type="dxa"/>
            <w:tcBorders>
              <w:top w:val="single" w:sz="8" w:space="0" w:color="000000"/>
              <w:left w:val="single" w:sz="6" w:space="0" w:color="000000"/>
              <w:bottom w:val="single" w:sz="6" w:space="0" w:color="000000"/>
              <w:right w:val="single" w:sz="8" w:space="0" w:color="000000"/>
            </w:tcBorders>
            <w:shd w:val="clear" w:color="auto" w:fill="FFD9FF"/>
            <w:vAlign w:val="center"/>
          </w:tcPr>
          <w:p w14:paraId="507894BD" w14:textId="77777777" w:rsidR="00D37260" w:rsidRDefault="00E5433B">
            <w:pPr>
              <w:jc w:val="center"/>
            </w:pPr>
            <w:r>
              <w:lastRenderedPageBreak/>
              <w:t>Responsible person at the</w:t>
            </w:r>
            <w:r>
              <w:rPr>
                <w:b/>
              </w:rPr>
              <w:t xml:space="preserve"> </w:t>
            </w:r>
            <w:r>
              <w:t>Receiving Institution</w:t>
            </w:r>
          </w:p>
        </w:tc>
        <w:tc>
          <w:tcPr>
            <w:tcW w:w="1410" w:type="dxa"/>
            <w:tcBorders>
              <w:bottom w:val="single" w:sz="6" w:space="0" w:color="000000"/>
              <w:right w:val="single" w:sz="8" w:space="0" w:color="000000"/>
            </w:tcBorders>
            <w:shd w:val="clear" w:color="auto" w:fill="FFD9FF"/>
            <w:vAlign w:val="center"/>
          </w:tcPr>
          <w:p w14:paraId="3CEF07E1" w14:textId="77777777" w:rsidR="00D37260" w:rsidRDefault="00D37260">
            <w:pPr>
              <w:jc w:val="center"/>
            </w:pPr>
          </w:p>
        </w:tc>
        <w:tc>
          <w:tcPr>
            <w:tcW w:w="1590" w:type="dxa"/>
            <w:tcBorders>
              <w:left w:val="single" w:sz="8" w:space="0" w:color="000000"/>
              <w:bottom w:val="single" w:sz="6" w:space="0" w:color="000000"/>
            </w:tcBorders>
            <w:shd w:val="clear" w:color="auto" w:fill="FFD9FF"/>
            <w:vAlign w:val="center"/>
          </w:tcPr>
          <w:p w14:paraId="390E07D3" w14:textId="77777777" w:rsidR="00D37260" w:rsidRDefault="00D37260">
            <w:pPr>
              <w:jc w:val="center"/>
            </w:pPr>
          </w:p>
        </w:tc>
        <w:tc>
          <w:tcPr>
            <w:tcW w:w="1245" w:type="dxa"/>
            <w:tcBorders>
              <w:left w:val="single" w:sz="8" w:space="0" w:color="000000"/>
              <w:bottom w:val="single" w:sz="6" w:space="0" w:color="000000"/>
            </w:tcBorders>
            <w:shd w:val="clear" w:color="auto" w:fill="FFD9FF"/>
            <w:vAlign w:val="center"/>
          </w:tcPr>
          <w:p w14:paraId="6A4EEF42" w14:textId="77777777" w:rsidR="00D37260" w:rsidRDefault="00D37260">
            <w:pPr>
              <w:jc w:val="center"/>
            </w:pPr>
          </w:p>
        </w:tc>
        <w:tc>
          <w:tcPr>
            <w:tcW w:w="1140" w:type="dxa"/>
            <w:tcBorders>
              <w:left w:val="single" w:sz="8" w:space="0" w:color="000000"/>
              <w:bottom w:val="single" w:sz="6" w:space="0" w:color="000000"/>
              <w:right w:val="single" w:sz="8" w:space="0" w:color="000000"/>
            </w:tcBorders>
            <w:shd w:val="clear" w:color="auto" w:fill="FFD9FF"/>
            <w:vAlign w:val="center"/>
          </w:tcPr>
          <w:p w14:paraId="713DAD5C" w14:textId="77777777" w:rsidR="00D37260" w:rsidRDefault="00D37260">
            <w:pPr>
              <w:jc w:val="center"/>
            </w:pPr>
          </w:p>
        </w:tc>
        <w:tc>
          <w:tcPr>
            <w:tcW w:w="3540" w:type="dxa"/>
            <w:tcBorders>
              <w:top w:val="single" w:sz="8" w:space="0" w:color="000000"/>
              <w:bottom w:val="single" w:sz="6" w:space="0" w:color="000000"/>
              <w:right w:val="single" w:sz="6" w:space="0" w:color="000000"/>
            </w:tcBorders>
            <w:shd w:val="clear" w:color="auto" w:fill="FFD9FF"/>
            <w:vAlign w:val="center"/>
          </w:tcPr>
          <w:p w14:paraId="6630A253" w14:textId="77777777" w:rsidR="00D37260" w:rsidRDefault="00D37260">
            <w:pPr>
              <w:jc w:val="center"/>
              <w:rPr>
                <w:b/>
              </w:rPr>
            </w:pPr>
          </w:p>
        </w:tc>
      </w:tr>
    </w:tbl>
    <w:p w14:paraId="365D94CF" w14:textId="77777777" w:rsidR="00D37260" w:rsidRDefault="00E5433B">
      <w:r>
        <w:br w:type="page"/>
      </w:r>
    </w:p>
    <w:tbl>
      <w:tblPr>
        <w:tblStyle w:val="a8"/>
        <w:tblW w:w="9029" w:type="dxa"/>
        <w:jc w:val="center"/>
        <w:tblInd w:w="0" w:type="dxa"/>
        <w:tblLayout w:type="fixed"/>
        <w:tblLook w:val="0600" w:firstRow="0" w:lastRow="0" w:firstColumn="0" w:lastColumn="0" w:noHBand="1" w:noVBand="1"/>
      </w:tblPr>
      <w:tblGrid>
        <w:gridCol w:w="9029"/>
      </w:tblGrid>
      <w:tr w:rsidR="00D37260" w14:paraId="1A24A2A8" w14:textId="77777777">
        <w:trPr>
          <w:jc w:val="center"/>
        </w:trPr>
        <w:tc>
          <w:tcPr>
            <w:tcW w:w="9029" w:type="dxa"/>
            <w:shd w:val="clear" w:color="auto" w:fill="auto"/>
          </w:tcPr>
          <w:p w14:paraId="3F2291F4" w14:textId="77777777" w:rsidR="00D37260" w:rsidRDefault="00D37260">
            <w:pPr>
              <w:rPr>
                <w:b/>
                <w:sz w:val="28"/>
                <w:szCs w:val="28"/>
              </w:rPr>
            </w:pPr>
          </w:p>
          <w:p w14:paraId="2C4625CB" w14:textId="77777777" w:rsidR="00D37260" w:rsidRDefault="00E5433B">
            <w:pPr>
              <w:jc w:val="center"/>
              <w:rPr>
                <w:b/>
              </w:rPr>
            </w:pPr>
            <w:r>
              <w:rPr>
                <w:b/>
                <w:sz w:val="28"/>
                <w:szCs w:val="28"/>
              </w:rPr>
              <w:t>Annex 1: Financial annex</w:t>
            </w:r>
          </w:p>
        </w:tc>
      </w:tr>
    </w:tbl>
    <w:p w14:paraId="0A80CC91" w14:textId="77777777" w:rsidR="00D37260" w:rsidRDefault="00E5433B">
      <w:pPr>
        <w:rPr>
          <w:b/>
        </w:rPr>
      </w:pPr>
      <w:r>
        <w:rPr>
          <w:b/>
        </w:rPr>
        <w:t>Introduction</w:t>
      </w:r>
    </w:p>
    <w:p w14:paraId="0A349FBC" w14:textId="77777777" w:rsidR="00D37260" w:rsidRDefault="00E5433B">
      <w:pPr>
        <w:jc w:val="both"/>
      </w:pPr>
      <w:r>
        <w:t xml:space="preserve">In the financial annex will be provided the list of documents and requirements in line with the grant allocation. </w:t>
      </w:r>
    </w:p>
    <w:p w14:paraId="1FE0A699" w14:textId="77777777" w:rsidR="00D37260" w:rsidRDefault="00E5433B">
      <w:pPr>
        <w:rPr>
          <w:u w:val="single"/>
        </w:rPr>
      </w:pPr>
      <w:r>
        <w:rPr>
          <w:u w:val="single"/>
        </w:rPr>
        <w:t>Article 1: Funding universities</w:t>
      </w:r>
    </w:p>
    <w:p w14:paraId="0863F102" w14:textId="77777777" w:rsidR="00D37260" w:rsidRDefault="00E5433B">
      <w:pPr>
        <w:jc w:val="both"/>
      </w:pPr>
      <w:bookmarkStart w:id="1" w:name="_heading=h.gjdgxs" w:colFirst="0" w:colLast="0"/>
      <w:bookmarkEnd w:id="1"/>
      <w:r>
        <w:t>1.1. The European Commission, through its European Universities initiative, funds the EDUC alliance and therefore funds the EDUC gap semester mobility scheme. Thus, the funding universities will be all the EDUC universities participating in the gap semester mobility schem</w:t>
      </w:r>
      <w:r w:rsidRPr="008D6F13">
        <w:t xml:space="preserve">e. </w:t>
      </w:r>
      <w:r w:rsidR="004F241E" w:rsidRPr="008D6F13">
        <w:t>The University Paris Nanterre also receives additional funds from the French Government Research Agency (the ANR) for the gap semester mobility scheme.</w:t>
      </w:r>
    </w:p>
    <w:p w14:paraId="7D21A0C1" w14:textId="77777777" w:rsidR="00D37260" w:rsidRDefault="00E5433B">
      <w:pPr>
        <w:jc w:val="both"/>
      </w:pPr>
      <w:r>
        <w:t>1.2 Each sending institution will fund the mobilities of its outgoing students.</w:t>
      </w:r>
    </w:p>
    <w:p w14:paraId="0E2113D0" w14:textId="77777777" w:rsidR="00D37260" w:rsidRDefault="00E5433B">
      <w:pPr>
        <w:jc w:val="both"/>
        <w:rPr>
          <w:u w:val="single"/>
        </w:rPr>
      </w:pPr>
      <w:r>
        <w:rPr>
          <w:u w:val="single"/>
        </w:rPr>
        <w:t>Article 2: Requirements from the students</w:t>
      </w:r>
    </w:p>
    <w:p w14:paraId="2601C43E" w14:textId="77777777" w:rsidR="00D37260" w:rsidRDefault="00E5433B">
      <w:pPr>
        <w:jc w:val="both"/>
      </w:pPr>
      <w:r>
        <w:t xml:space="preserve">2.1. The participating student accepts to provide the following documents to </w:t>
      </w:r>
      <w:r>
        <w:rPr>
          <w:b/>
        </w:rPr>
        <w:t xml:space="preserve">the sending university </w:t>
      </w:r>
      <w:r>
        <w:t>to initiate the first payment of the grant:</w:t>
      </w:r>
    </w:p>
    <w:p w14:paraId="2CD24269" w14:textId="77777777" w:rsidR="00D37260" w:rsidRDefault="00E5433B">
      <w:pPr>
        <w:widowControl w:val="0"/>
        <w:numPr>
          <w:ilvl w:val="0"/>
          <w:numId w:val="2"/>
        </w:numPr>
        <w:spacing w:after="0" w:line="240" w:lineRule="auto"/>
      </w:pPr>
      <w:r>
        <w:t xml:space="preserve">A copy of the European Health Insurance card </w:t>
      </w:r>
    </w:p>
    <w:p w14:paraId="194A7F5A" w14:textId="77777777" w:rsidR="00D37260" w:rsidRDefault="00E5433B">
      <w:pPr>
        <w:widowControl w:val="0"/>
        <w:numPr>
          <w:ilvl w:val="0"/>
          <w:numId w:val="2"/>
        </w:numPr>
        <w:spacing w:after="0" w:line="240" w:lineRule="auto"/>
      </w:pPr>
      <w:r>
        <w:t xml:space="preserve">Signed Gap semester agreement </w:t>
      </w:r>
    </w:p>
    <w:p w14:paraId="5A0464EE" w14:textId="77777777" w:rsidR="00D37260" w:rsidRDefault="00E5433B">
      <w:pPr>
        <w:widowControl w:val="0"/>
        <w:numPr>
          <w:ilvl w:val="0"/>
          <w:numId w:val="2"/>
        </w:numPr>
        <w:spacing w:after="0" w:line="240" w:lineRule="auto"/>
        <w:jc w:val="both"/>
      </w:pPr>
      <w:r>
        <w:t>Signed arrival certificate signed by the receiving university with the exact start date of the mobility. If the student's arrival date is later than the beginning of the semester, the student's arrival date must be indicated</w:t>
      </w:r>
    </w:p>
    <w:p w14:paraId="75A0D201" w14:textId="77777777" w:rsidR="00D37260" w:rsidRDefault="00E5433B">
      <w:pPr>
        <w:widowControl w:val="0"/>
        <w:numPr>
          <w:ilvl w:val="0"/>
          <w:numId w:val="2"/>
        </w:numPr>
        <w:spacing w:after="0" w:line="240" w:lineRule="auto"/>
        <w:jc w:val="both"/>
      </w:pPr>
      <w:r>
        <w:t xml:space="preserve">Bank account details </w:t>
      </w:r>
    </w:p>
    <w:p w14:paraId="35A55E82" w14:textId="77777777" w:rsidR="00D37260" w:rsidRDefault="00D37260">
      <w:pPr>
        <w:widowControl w:val="0"/>
        <w:spacing w:after="0" w:line="240" w:lineRule="auto"/>
        <w:jc w:val="both"/>
      </w:pPr>
    </w:p>
    <w:p w14:paraId="24277BAB" w14:textId="77777777" w:rsidR="00D37260" w:rsidRDefault="00E5433B">
      <w:pPr>
        <w:widowControl w:val="0"/>
        <w:spacing w:line="240" w:lineRule="auto"/>
        <w:jc w:val="both"/>
      </w:pPr>
      <w:r>
        <w:t>2.2 The participating student agrees to comply with the requirements listed below in order to receive the totality of the grant:</w:t>
      </w:r>
    </w:p>
    <w:p w14:paraId="19C00BD1" w14:textId="77777777" w:rsidR="00D37260" w:rsidRDefault="00E5433B">
      <w:pPr>
        <w:widowControl w:val="0"/>
        <w:numPr>
          <w:ilvl w:val="0"/>
          <w:numId w:val="1"/>
        </w:numPr>
        <w:spacing w:after="0" w:line="240" w:lineRule="auto"/>
        <w:jc w:val="both"/>
      </w:pPr>
      <w:r>
        <w:t>Respect the EDUC Gap semester terms and conditions</w:t>
      </w:r>
    </w:p>
    <w:p w14:paraId="77920958" w14:textId="77777777" w:rsidR="00D37260" w:rsidRDefault="00E5433B">
      <w:pPr>
        <w:widowControl w:val="0"/>
        <w:numPr>
          <w:ilvl w:val="0"/>
          <w:numId w:val="1"/>
        </w:numPr>
        <w:pBdr>
          <w:top w:val="nil"/>
          <w:left w:val="nil"/>
          <w:bottom w:val="nil"/>
          <w:right w:val="nil"/>
          <w:between w:val="nil"/>
        </w:pBdr>
        <w:spacing w:after="0" w:line="240" w:lineRule="auto"/>
        <w:jc w:val="both"/>
      </w:pPr>
      <w:r>
        <w:rPr>
          <w:color w:val="000000"/>
        </w:rPr>
        <w:t xml:space="preserve">Attend all the selected courses indicated in the updated learning agreement during the mobility. Students must comply with the attendance requirements of each selected course. In </w:t>
      </w:r>
    </w:p>
    <w:p w14:paraId="387D6C8E" w14:textId="77777777" w:rsidR="00D37260" w:rsidRDefault="00E5433B">
      <w:pPr>
        <w:widowControl w:val="0"/>
        <w:pBdr>
          <w:top w:val="nil"/>
          <w:left w:val="nil"/>
          <w:bottom w:val="nil"/>
          <w:right w:val="nil"/>
          <w:between w:val="nil"/>
        </w:pBdr>
        <w:spacing w:after="0" w:line="240" w:lineRule="auto"/>
        <w:ind w:left="720"/>
        <w:jc w:val="both"/>
        <w:rPr>
          <w:color w:val="000000"/>
          <w:sz w:val="20"/>
          <w:szCs w:val="20"/>
        </w:rPr>
      </w:pPr>
      <w:r>
        <w:rPr>
          <w:color w:val="000000"/>
        </w:rPr>
        <w:t xml:space="preserve">case there are </w:t>
      </w:r>
      <w:r>
        <w:t xml:space="preserve">overlapping </w:t>
      </w:r>
      <w:r>
        <w:rPr>
          <w:color w:val="000000"/>
        </w:rPr>
        <w:t>courses, case by case solutions should be agreed.</w:t>
      </w:r>
    </w:p>
    <w:p w14:paraId="3EBA5987" w14:textId="77777777" w:rsidR="00D37260" w:rsidRDefault="00E5433B">
      <w:pPr>
        <w:widowControl w:val="0"/>
        <w:numPr>
          <w:ilvl w:val="0"/>
          <w:numId w:val="1"/>
        </w:numPr>
        <w:pBdr>
          <w:top w:val="nil"/>
          <w:left w:val="nil"/>
          <w:bottom w:val="nil"/>
          <w:right w:val="nil"/>
          <w:between w:val="nil"/>
        </w:pBdr>
        <w:spacing w:after="0" w:line="240" w:lineRule="auto"/>
        <w:jc w:val="both"/>
        <w:rPr>
          <w:color w:val="000000"/>
        </w:rPr>
      </w:pPr>
      <w:r>
        <w:rPr>
          <w:color w:val="000000"/>
        </w:rPr>
        <w:t>Attend all the exams of selected courses and conclude all assessments</w:t>
      </w:r>
    </w:p>
    <w:p w14:paraId="0E0976FF" w14:textId="77777777" w:rsidR="00D37260" w:rsidRPr="00CF2C26" w:rsidRDefault="00E5433B" w:rsidP="00CF2C26">
      <w:pPr>
        <w:widowControl w:val="0"/>
        <w:numPr>
          <w:ilvl w:val="0"/>
          <w:numId w:val="1"/>
        </w:numPr>
        <w:pBdr>
          <w:top w:val="nil"/>
          <w:left w:val="nil"/>
          <w:bottom w:val="nil"/>
          <w:right w:val="nil"/>
          <w:between w:val="nil"/>
        </w:pBdr>
        <w:spacing w:line="240" w:lineRule="auto"/>
        <w:jc w:val="both"/>
      </w:pPr>
      <w:r>
        <w:t>At the end of the mobility, s</w:t>
      </w:r>
      <w:r>
        <w:rPr>
          <w:color w:val="000000"/>
        </w:rPr>
        <w:t xml:space="preserve">end the following documents to the International Relations Office of the sending university: a certificate of attendance, a Transcript of records  and the </w:t>
      </w:r>
      <w:r w:rsidR="006D5278">
        <w:rPr>
          <w:color w:val="000000"/>
        </w:rPr>
        <w:t>experience</w:t>
      </w:r>
      <w:r>
        <w:rPr>
          <w:color w:val="000000"/>
        </w:rPr>
        <w:t xml:space="preserve"> report</w:t>
      </w:r>
      <w:r w:rsidR="006D5278">
        <w:rPr>
          <w:color w:val="000000"/>
        </w:rPr>
        <w:t xml:space="preserve"> (one for an EDUC gap semester, two for a full EDUC gap year)</w:t>
      </w:r>
      <w:r>
        <w:rPr>
          <w:color w:val="000000"/>
        </w:rPr>
        <w:t xml:space="preserve"> </w:t>
      </w:r>
    </w:p>
    <w:p w14:paraId="1C26DE25" w14:textId="77777777" w:rsidR="00CB362B" w:rsidRDefault="00CB362B">
      <w:pPr>
        <w:rPr>
          <w:u w:val="single"/>
        </w:rPr>
      </w:pPr>
      <w:r>
        <w:rPr>
          <w:u w:val="single"/>
        </w:rPr>
        <w:br w:type="page"/>
      </w:r>
    </w:p>
    <w:p w14:paraId="1A24EC30" w14:textId="77777777" w:rsidR="00D37260" w:rsidRDefault="00D37260">
      <w:pPr>
        <w:ind w:left="360"/>
        <w:rPr>
          <w:u w:val="single"/>
        </w:rPr>
      </w:pPr>
    </w:p>
    <w:p w14:paraId="1585B080" w14:textId="77777777" w:rsidR="00D37260" w:rsidRDefault="00E5433B" w:rsidP="00E267C9">
      <w:pPr>
        <w:rPr>
          <w:u w:val="single"/>
        </w:rPr>
      </w:pPr>
      <w:r>
        <w:rPr>
          <w:u w:val="single"/>
        </w:rPr>
        <w:t>Article 3: Financial Support</w:t>
      </w:r>
    </w:p>
    <w:p w14:paraId="44D0E7C8" w14:textId="77777777" w:rsidR="00D37260" w:rsidRDefault="00E5433B" w:rsidP="00E267C9">
      <w:pPr>
        <w:jc w:val="both"/>
      </w:pPr>
      <w:r>
        <w:t xml:space="preserve">3.1 The EDUC financial support is </w:t>
      </w:r>
      <w:r w:rsidR="00E267C9">
        <w:t>550,00</w:t>
      </w:r>
      <w:r>
        <w:t xml:space="preserve"> </w:t>
      </w:r>
      <w:r>
        <w:rPr>
          <w:color w:val="000000"/>
        </w:rPr>
        <w:t xml:space="preserve">€ / month for Norway </w:t>
      </w:r>
      <w:r>
        <w:rPr>
          <w:b/>
          <w:color w:val="000000"/>
        </w:rPr>
        <w:t>OR</w:t>
      </w:r>
      <w:r>
        <w:rPr>
          <w:color w:val="000000"/>
        </w:rPr>
        <w:t xml:space="preserve"> </w:t>
      </w:r>
      <w:r w:rsidR="00E267C9">
        <w:rPr>
          <w:color w:val="000000"/>
        </w:rPr>
        <w:t xml:space="preserve">500,00 € /month for Germany, Italy or Spain </w:t>
      </w:r>
      <w:r w:rsidR="00E267C9" w:rsidRPr="00E267C9">
        <w:rPr>
          <w:b/>
          <w:color w:val="000000"/>
        </w:rPr>
        <w:t>OR</w:t>
      </w:r>
      <w:r w:rsidR="00E267C9">
        <w:rPr>
          <w:color w:val="000000"/>
        </w:rPr>
        <w:t xml:space="preserve"> </w:t>
      </w:r>
      <w:r w:rsidRPr="00E267C9">
        <w:t>300</w:t>
      </w:r>
      <w:r>
        <w:t xml:space="preserve">,00 </w:t>
      </w:r>
      <w:r>
        <w:rPr>
          <w:color w:val="000000"/>
        </w:rPr>
        <w:t xml:space="preserve">€ / month for </w:t>
      </w:r>
      <w:r w:rsidR="00E267C9">
        <w:rPr>
          <w:color w:val="000000"/>
        </w:rPr>
        <w:t>Czech Republic or Hungary,</w:t>
      </w:r>
      <w:r>
        <w:rPr>
          <w:color w:val="000000"/>
        </w:rPr>
        <w:t xml:space="preserve"> </w:t>
      </w:r>
      <w:r>
        <w:t xml:space="preserve">allocated for a duration of maximum </w:t>
      </w:r>
      <w:r w:rsidR="00E267C9">
        <w:t>10</w:t>
      </w:r>
      <w:r>
        <w:t xml:space="preserve"> months and calculated pro-rata to the number of days of physical mobility during the study period. The amount of the grant will be calculated considering the start date of the mobility (as stated in the certificate of arrival) and the ending date (as stated in the certificate of attendance). An additional financial support for travel costs will be pa</w:t>
      </w:r>
      <w:r w:rsidR="00C466BC">
        <w:t xml:space="preserve">id to the student (300,00 </w:t>
      </w:r>
      <w:r>
        <w:t xml:space="preserve">€ for </w:t>
      </w:r>
      <w:r w:rsidR="00C466BC">
        <w:t xml:space="preserve">a mobility in Germany, Spain, Czech Republic or Hungary </w:t>
      </w:r>
      <w:r w:rsidR="00C466BC">
        <w:rPr>
          <w:b/>
        </w:rPr>
        <w:t>OR</w:t>
      </w:r>
      <w:r w:rsidR="00C466BC">
        <w:t xml:space="preserve"> 400,00 € for a mobility in Norway or Italy</w:t>
      </w:r>
      <w:r>
        <w:t xml:space="preserve">). The travel fund is a lump sum which will be paid once for the whole duration of the mobility. </w:t>
      </w:r>
    </w:p>
    <w:p w14:paraId="1D58AFDC" w14:textId="77777777" w:rsidR="00D72795" w:rsidRDefault="00D72795" w:rsidP="00E267C9">
      <w:pPr>
        <w:jc w:val="both"/>
      </w:pPr>
    </w:p>
    <w:p w14:paraId="6E5F5A58" w14:textId="77777777" w:rsidR="00D37260" w:rsidRDefault="00E5433B">
      <w:pPr>
        <w:jc w:val="both"/>
      </w:pPr>
      <w:r>
        <w:t xml:space="preserve">3.2. Each participant who intends to participate in an EDUC gap semester and receive financial support from EDUC shall complete the application form for EDUC gap semester and scholarship. </w:t>
      </w:r>
    </w:p>
    <w:p w14:paraId="5B19D07D" w14:textId="77777777" w:rsidR="00D37260" w:rsidRDefault="00E5433B">
      <w:pPr>
        <w:jc w:val="both"/>
      </w:pPr>
      <w:r>
        <w:t xml:space="preserve">3.3. The EDUC grant is not cumulative with any Erasmus mobility grant. </w:t>
      </w:r>
    </w:p>
    <w:p w14:paraId="08602241" w14:textId="77777777" w:rsidR="00D37260" w:rsidRDefault="00E5433B">
      <w:pPr>
        <w:jc w:val="both"/>
      </w:pPr>
      <w:r>
        <w:t xml:space="preserve">3.4. The financial support or part of the total amount granted shall be repaid if the participant does not comply with the terms of the agreement. If the participant terminates the mobility before the officially agreed end date, the student shall have to refund the amount of the grant already paid in pro rata of the months not completed. </w:t>
      </w:r>
    </w:p>
    <w:p w14:paraId="6B0EDF18" w14:textId="77777777" w:rsidR="00D37260" w:rsidRDefault="00E5433B">
      <w:pPr>
        <w:jc w:val="both"/>
      </w:pPr>
      <w:r>
        <w:t xml:space="preserve">3.5. If the participant has started the mobility but has been prevented from completing the mobility activities due to force majeure*, the student shall be entitled to receive at least the amount of the grant corresponding to the amount of the duration of the physical mobility period. </w:t>
      </w:r>
    </w:p>
    <w:p w14:paraId="34918080" w14:textId="77777777" w:rsidR="00D37260" w:rsidRDefault="00E5433B">
      <w:pPr>
        <w:jc w:val="both"/>
      </w:pPr>
      <w:r>
        <w:rPr>
          <w:b/>
        </w:rPr>
        <w:t xml:space="preserve">‘Force majeure’: </w:t>
      </w:r>
      <w:r>
        <w:t>Any unforeseeable, exceptional situation or event beyond the control of the parties that prevents either of them from fulfilling any of their obligations under the Agreement, which is not attributable to error or negligence on their part or on the part of the subcontractors affiliated entities or third parties in receipt of financial support and which proves to be inevitable despite their exercising due diligence. The following cannot be invoked as force majeure: labor disputes, strikes, financial difficulties or any default of a service, defect in equipment or materials or delays in making them available, unless they stem directly from a relevant case of force majeure.</w:t>
      </w:r>
    </w:p>
    <w:p w14:paraId="4CFB6DD0" w14:textId="77777777" w:rsidR="00D37260" w:rsidRDefault="00E5433B">
      <w:pPr>
        <w:jc w:val="both"/>
      </w:pPr>
      <w:r>
        <w:t xml:space="preserve">In case of force majeure, students have the obligation to inform their contact point at the sending and receiving university as soon as possible within one day. According to the case of force majeure, the student will have to comply by sending proofs in order for the EDUC teams to assess the status of the student and his/her grant. </w:t>
      </w:r>
    </w:p>
    <w:p w14:paraId="64B0B10F" w14:textId="77777777" w:rsidR="00D37260" w:rsidRDefault="00E5433B">
      <w:pPr>
        <w:jc w:val="both"/>
      </w:pPr>
      <w:r>
        <w:t xml:space="preserve">The list of force majeure cases is not exhaustive. Each situation will be discussed and a tailor-made solution will be provided according to specific situations. </w:t>
      </w:r>
    </w:p>
    <w:p w14:paraId="698566E3" w14:textId="77777777" w:rsidR="00D37260" w:rsidRDefault="00D37260">
      <w:pPr>
        <w:widowControl w:val="0"/>
        <w:spacing w:line="240" w:lineRule="auto"/>
        <w:rPr>
          <w:u w:val="single"/>
        </w:rPr>
      </w:pPr>
    </w:p>
    <w:p w14:paraId="3DC8F585" w14:textId="77777777" w:rsidR="00D37260" w:rsidRDefault="00D37260">
      <w:pPr>
        <w:widowControl w:val="0"/>
        <w:spacing w:line="240" w:lineRule="auto"/>
        <w:rPr>
          <w:u w:val="single"/>
        </w:rPr>
      </w:pPr>
    </w:p>
    <w:p w14:paraId="617FCE19" w14:textId="77777777" w:rsidR="00D37260" w:rsidRDefault="00E5433B">
      <w:pPr>
        <w:spacing w:after="0" w:line="240" w:lineRule="auto"/>
        <w:rPr>
          <w:u w:val="single"/>
        </w:rPr>
      </w:pPr>
      <w:r>
        <w:br w:type="page"/>
      </w:r>
    </w:p>
    <w:p w14:paraId="7F128CAA" w14:textId="77777777" w:rsidR="00D37260" w:rsidRDefault="00D37260">
      <w:pPr>
        <w:widowControl w:val="0"/>
        <w:spacing w:line="240" w:lineRule="auto"/>
        <w:rPr>
          <w:u w:val="single"/>
        </w:rPr>
      </w:pPr>
    </w:p>
    <w:p w14:paraId="05AB5211" w14:textId="77777777" w:rsidR="00D37260" w:rsidRDefault="00E5433B">
      <w:pPr>
        <w:widowControl w:val="0"/>
        <w:spacing w:line="240" w:lineRule="auto"/>
        <w:rPr>
          <w:u w:val="single"/>
        </w:rPr>
      </w:pPr>
      <w:r>
        <w:rPr>
          <w:u w:val="single"/>
        </w:rPr>
        <w:t xml:space="preserve">Article 4: Payment arrangements </w:t>
      </w:r>
    </w:p>
    <w:p w14:paraId="187816D7" w14:textId="77777777" w:rsidR="00D37260" w:rsidRDefault="00E5433B">
      <w:pPr>
        <w:widowControl w:val="0"/>
        <w:spacing w:line="240" w:lineRule="auto"/>
        <w:jc w:val="both"/>
      </w:pPr>
      <w:r>
        <w:t>4.1. The amount of the grant will be allocated in two payments.</w:t>
      </w:r>
    </w:p>
    <w:p w14:paraId="52110694" w14:textId="77777777" w:rsidR="00D37260" w:rsidRDefault="00E5433B">
      <w:pPr>
        <w:widowControl w:val="0"/>
        <w:spacing w:line="240" w:lineRule="auto"/>
        <w:jc w:val="both"/>
      </w:pPr>
      <w:r>
        <w:t>4.2. The payment of the grant will be initiated once the International Office of the funding universities will receive the initial documents which are listed in section 2.2</w:t>
      </w:r>
    </w:p>
    <w:p w14:paraId="723638C0" w14:textId="77777777" w:rsidR="00D37260" w:rsidRDefault="00E5433B">
      <w:r>
        <w:t xml:space="preserve"> 4.3. The EDUC grant will be allocated accordingly:</w:t>
      </w:r>
    </w:p>
    <w:p w14:paraId="252C078D" w14:textId="77777777" w:rsidR="00BE2B50" w:rsidRPr="00A64FE7" w:rsidRDefault="00BE2B50" w:rsidP="00BE2B50">
      <w:pPr>
        <w:widowControl w:val="0"/>
        <w:spacing w:after="0" w:line="240" w:lineRule="auto"/>
        <w:jc w:val="both"/>
      </w:pPr>
      <w:bookmarkStart w:id="2" w:name="_heading=h.14ampw7vr3dt" w:colFirst="0" w:colLast="0"/>
      <w:bookmarkEnd w:id="2"/>
      <w:r w:rsidRPr="00A64FE7">
        <w:rPr>
          <w:b/>
        </w:rPr>
        <w:t>For an EDUC gap semester</w:t>
      </w:r>
      <w:r w:rsidRPr="00A64FE7">
        <w:t xml:space="preserve">: </w:t>
      </w:r>
    </w:p>
    <w:p w14:paraId="252A71FC" w14:textId="77777777" w:rsidR="00BE2B50" w:rsidRPr="00A64FE7" w:rsidRDefault="00BE2B50" w:rsidP="00BE2B50">
      <w:pPr>
        <w:widowControl w:val="0"/>
        <w:numPr>
          <w:ilvl w:val="0"/>
          <w:numId w:val="10"/>
        </w:numPr>
        <w:spacing w:after="0" w:line="240" w:lineRule="auto"/>
        <w:jc w:val="both"/>
      </w:pPr>
      <w:r w:rsidRPr="00A64FE7">
        <w:t xml:space="preserve">a first payment representing 70% of the </w:t>
      </w:r>
      <w:r w:rsidRPr="00A64FE7">
        <w:rPr>
          <w:u w:val="single"/>
        </w:rPr>
        <w:t>estimated</w:t>
      </w:r>
      <w:r w:rsidRPr="00A64FE7">
        <w:t xml:space="preserve"> amount of the EDUC gap year grant upon receipt of the initial documents, plus an additional financial support for travel costs: 300€ for a one semester mobility</w:t>
      </w:r>
    </w:p>
    <w:p w14:paraId="68638824" w14:textId="77777777" w:rsidR="00BE2B50" w:rsidRPr="00A64FE7" w:rsidRDefault="00BE2B50" w:rsidP="00BE2B50">
      <w:pPr>
        <w:widowControl w:val="0"/>
        <w:numPr>
          <w:ilvl w:val="0"/>
          <w:numId w:val="10"/>
        </w:numPr>
        <w:spacing w:after="0" w:line="240" w:lineRule="auto"/>
        <w:jc w:val="both"/>
      </w:pPr>
      <w:r w:rsidRPr="00A64FE7">
        <w:t xml:space="preserve">payment of a balance representing approximately 30% of the </w:t>
      </w:r>
      <w:r w:rsidRPr="00A64FE7">
        <w:rPr>
          <w:u w:val="single"/>
        </w:rPr>
        <w:t>exact</w:t>
      </w:r>
      <w:r w:rsidRPr="00A64FE7">
        <w:t xml:space="preserve"> amount of the EDUC gap year grant upon receipt of the final documents</w:t>
      </w:r>
    </w:p>
    <w:p w14:paraId="4D6AC4BD" w14:textId="77777777" w:rsidR="00BE2B50" w:rsidRPr="00A64FE7" w:rsidRDefault="00BE2B50" w:rsidP="00BE2B50">
      <w:pPr>
        <w:widowControl w:val="0"/>
        <w:spacing w:after="0" w:line="240" w:lineRule="auto"/>
        <w:jc w:val="both"/>
      </w:pPr>
    </w:p>
    <w:p w14:paraId="140A6393" w14:textId="77777777" w:rsidR="00BE2B50" w:rsidRPr="00A64FE7" w:rsidRDefault="00BE2B50" w:rsidP="00BE2B50">
      <w:pPr>
        <w:widowControl w:val="0"/>
        <w:spacing w:after="0" w:line="240" w:lineRule="auto"/>
        <w:jc w:val="both"/>
      </w:pPr>
      <w:r w:rsidRPr="00A64FE7">
        <w:rPr>
          <w:b/>
        </w:rPr>
        <w:t>For an EDUC gap year</w:t>
      </w:r>
      <w:r w:rsidRPr="00A64FE7">
        <w:t>:</w:t>
      </w:r>
    </w:p>
    <w:p w14:paraId="6D9ABADE" w14:textId="77777777" w:rsidR="00BE2B50" w:rsidRPr="00A64FE7" w:rsidRDefault="00BE2B50" w:rsidP="00BE2B50">
      <w:pPr>
        <w:widowControl w:val="0"/>
        <w:numPr>
          <w:ilvl w:val="0"/>
          <w:numId w:val="10"/>
        </w:numPr>
        <w:spacing w:after="0" w:line="240" w:lineRule="auto"/>
        <w:jc w:val="both"/>
      </w:pPr>
      <w:bookmarkStart w:id="3" w:name="_heading=h.y2cwpqon1hc6" w:colFirst="0" w:colLast="0"/>
      <w:bookmarkEnd w:id="3"/>
      <w:r w:rsidRPr="00A64FE7">
        <w:t xml:space="preserve">a first payment representing 40% of the </w:t>
      </w:r>
      <w:r w:rsidRPr="00A64FE7">
        <w:rPr>
          <w:u w:val="single"/>
        </w:rPr>
        <w:t>estimated</w:t>
      </w:r>
      <w:r w:rsidRPr="00A64FE7">
        <w:t xml:space="preserve"> amount of the EDUC gap year grant upon receipt of the initial documents, plus an additional financial support for travel costs: 600€ for a two-semester mobility</w:t>
      </w:r>
    </w:p>
    <w:p w14:paraId="63FFC6E4" w14:textId="77777777" w:rsidR="00BE2B50" w:rsidRPr="00A64FE7" w:rsidRDefault="00BE2B50" w:rsidP="00BE2B50">
      <w:pPr>
        <w:widowControl w:val="0"/>
        <w:numPr>
          <w:ilvl w:val="0"/>
          <w:numId w:val="9"/>
        </w:numPr>
        <w:shd w:val="clear" w:color="auto" w:fill="FFFFFF"/>
        <w:spacing w:after="0" w:line="276" w:lineRule="auto"/>
        <w:jc w:val="both"/>
      </w:pPr>
      <w:r w:rsidRPr="00A64FE7">
        <w:t xml:space="preserve">payment of an advance representing 40% of the </w:t>
      </w:r>
      <w:r w:rsidRPr="00A64FE7">
        <w:rPr>
          <w:u w:val="single"/>
        </w:rPr>
        <w:t>estimated</w:t>
      </w:r>
      <w:r w:rsidRPr="00A64FE7">
        <w:t xml:space="preserve"> amount of the EDUC gap year grant upon receipt of the 1st report, to be submitted by the student within 30 days following the end of the 1st study period/semester,</w:t>
      </w:r>
    </w:p>
    <w:p w14:paraId="667DF690" w14:textId="77777777" w:rsidR="00BE2B50" w:rsidRPr="00A64FE7" w:rsidRDefault="00BE2B50" w:rsidP="00BE2B50">
      <w:pPr>
        <w:widowControl w:val="0"/>
        <w:numPr>
          <w:ilvl w:val="0"/>
          <w:numId w:val="9"/>
        </w:numPr>
        <w:shd w:val="clear" w:color="auto" w:fill="FFFFFF"/>
        <w:spacing w:after="0" w:line="276" w:lineRule="auto"/>
        <w:jc w:val="both"/>
      </w:pPr>
      <w:r w:rsidRPr="00A64FE7">
        <w:t xml:space="preserve">payment of a balance representing approximately 20% of the </w:t>
      </w:r>
      <w:r w:rsidRPr="00A64FE7">
        <w:rPr>
          <w:u w:val="single"/>
        </w:rPr>
        <w:t>exact</w:t>
      </w:r>
      <w:r w:rsidRPr="00A64FE7">
        <w:t xml:space="preserve"> amount of the EDUC gap year grant upon receipt of the final documents (reference documents: certificate of attendance, final report</w:t>
      </w:r>
      <w:r>
        <w:t>, Transcript of records</w:t>
      </w:r>
      <w:r w:rsidRPr="00A64FE7">
        <w:t xml:space="preserve"> and </w:t>
      </w:r>
      <w:r>
        <w:t xml:space="preserve">online </w:t>
      </w:r>
      <w:r w:rsidRPr="00A64FE7">
        <w:t>questionnaire filled in).</w:t>
      </w:r>
    </w:p>
    <w:p w14:paraId="0968D512" w14:textId="77777777" w:rsidR="00D37260" w:rsidRDefault="00D37260">
      <w:pPr>
        <w:widowControl w:val="0"/>
        <w:spacing w:after="0" w:line="240" w:lineRule="auto"/>
        <w:jc w:val="both"/>
      </w:pPr>
    </w:p>
    <w:p w14:paraId="15C2D674" w14:textId="77777777" w:rsidR="00D37260" w:rsidRDefault="00E5433B">
      <w:pPr>
        <w:widowControl w:val="0"/>
        <w:shd w:val="clear" w:color="auto" w:fill="FFFFFF"/>
        <w:spacing w:after="0" w:line="276" w:lineRule="auto"/>
        <w:jc w:val="both"/>
        <w:rPr>
          <w:i/>
        </w:rPr>
      </w:pPr>
      <w:bookmarkStart w:id="4" w:name="_heading=h.l7kcu5ecjar8" w:colFirst="0" w:colLast="0"/>
      <w:bookmarkEnd w:id="4"/>
      <w:r>
        <w:t>4.4. The reference document for the calculation of the amount of the first payment to be paid is the Notification of mobility grant award.</w:t>
      </w:r>
    </w:p>
    <w:p w14:paraId="6EA9DB7B" w14:textId="77777777" w:rsidR="00D37260" w:rsidRDefault="00D37260">
      <w:pPr>
        <w:widowControl w:val="0"/>
        <w:spacing w:line="240" w:lineRule="auto"/>
      </w:pPr>
    </w:p>
    <w:p w14:paraId="0555F87F" w14:textId="77777777" w:rsidR="00D37260" w:rsidRDefault="00D37260">
      <w:pPr>
        <w:widowControl w:val="0"/>
        <w:spacing w:line="240" w:lineRule="auto"/>
      </w:pPr>
    </w:p>
    <w:sectPr w:rsidR="00D37260">
      <w:headerReference w:type="default" r:id="rId8"/>
      <w:footerReference w:type="default" r:id="rId9"/>
      <w:pgSz w:w="11906" w:h="16838"/>
      <w:pgMar w:top="1417"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A9FA" w14:textId="77777777" w:rsidR="008D6F13" w:rsidRDefault="008D6F13">
      <w:pPr>
        <w:spacing w:after="0" w:line="240" w:lineRule="auto"/>
      </w:pPr>
      <w:r>
        <w:separator/>
      </w:r>
    </w:p>
  </w:endnote>
  <w:endnote w:type="continuationSeparator" w:id="0">
    <w:p w14:paraId="4D383D16" w14:textId="77777777" w:rsidR="008D6F13" w:rsidRDefault="008D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C4BB" w14:textId="14A8D289" w:rsidR="008D6F13" w:rsidRDefault="008D6F13">
    <w:pPr>
      <w:pBdr>
        <w:top w:val="nil"/>
        <w:left w:val="nil"/>
        <w:bottom w:val="nil"/>
        <w:right w:val="nil"/>
        <w:between w:val="nil"/>
      </w:pBdr>
      <w:tabs>
        <w:tab w:val="center" w:pos="4536"/>
        <w:tab w:val="right" w:pos="9072"/>
      </w:tabs>
      <w:spacing w:after="0" w:line="240" w:lineRule="auto"/>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separate"/>
    </w:r>
    <w:r w:rsidR="00F84561">
      <w:rPr>
        <w:b/>
        <w:noProof/>
        <w:color w:val="000000"/>
        <w:sz w:val="28"/>
        <w:szCs w:val="28"/>
      </w:rPr>
      <w:t>8</w:t>
    </w:r>
    <w:r>
      <w:rPr>
        <w:b/>
        <w:color w:val="000000"/>
        <w:sz w:val="28"/>
        <w:szCs w:val="28"/>
      </w:rPr>
      <w:fldChar w:fldCharType="end"/>
    </w:r>
  </w:p>
  <w:p w14:paraId="09A50637" w14:textId="77777777" w:rsidR="008D6F13" w:rsidRDefault="008D6F13">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B34" w14:textId="77777777" w:rsidR="008D6F13" w:rsidRDefault="008D6F13">
      <w:pPr>
        <w:spacing w:after="0" w:line="240" w:lineRule="auto"/>
      </w:pPr>
      <w:r>
        <w:separator/>
      </w:r>
    </w:p>
  </w:footnote>
  <w:footnote w:type="continuationSeparator" w:id="0">
    <w:p w14:paraId="093103AB" w14:textId="77777777" w:rsidR="008D6F13" w:rsidRDefault="008D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0BCE" w14:textId="77777777" w:rsidR="008D6F13" w:rsidRDefault="008D6F13">
    <w:pPr>
      <w:pBdr>
        <w:top w:val="nil"/>
        <w:left w:val="nil"/>
        <w:bottom w:val="nil"/>
        <w:right w:val="nil"/>
        <w:between w:val="nil"/>
      </w:pBdr>
      <w:tabs>
        <w:tab w:val="center" w:pos="4536"/>
        <w:tab w:val="right" w:pos="9072"/>
      </w:tabs>
      <w:spacing w:after="0" w:line="240" w:lineRule="auto"/>
      <w:rPr>
        <w:color w:val="000000"/>
      </w:rPr>
    </w:pPr>
    <w:r w:rsidRPr="00373D91">
      <w:rPr>
        <w:noProof/>
        <w:lang w:val="fr-FR"/>
      </w:rPr>
      <w:drawing>
        <wp:anchor distT="0" distB="0" distL="114300" distR="114300" simplePos="0" relativeHeight="251665408" behindDoc="0" locked="0" layoutInCell="1" allowOverlap="1" wp14:anchorId="3D1699C4" wp14:editId="2715D7A3">
          <wp:simplePos x="0" y="0"/>
          <wp:positionH relativeFrom="margin">
            <wp:posOffset>2257425</wp:posOffset>
          </wp:positionH>
          <wp:positionV relativeFrom="paragraph">
            <wp:posOffset>228600</wp:posOffset>
          </wp:positionV>
          <wp:extent cx="1608455" cy="411480"/>
          <wp:effectExtent l="0" t="0" r="0" b="7620"/>
          <wp:wrapNone/>
          <wp:docPr id="1" name="Image 1" descr="C:\Users\cporee\AppData\Local\Microsoft\Windows\INetCache\Content.Word\ANR-logo-2021-c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poree\AppData\Local\Microsoft\Windows\INetCache\Content.Word\ANR-logo-2021-compl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845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3D91">
      <w:rPr>
        <w:noProof/>
        <w:lang w:val="fr-FR"/>
      </w:rPr>
      <w:drawing>
        <wp:anchor distT="0" distB="0" distL="114300" distR="114300" simplePos="0" relativeHeight="251664384" behindDoc="0" locked="0" layoutInCell="1" hidden="0" allowOverlap="1" wp14:anchorId="0BFE3D1E" wp14:editId="337B6484">
          <wp:simplePos x="0" y="0"/>
          <wp:positionH relativeFrom="column">
            <wp:posOffset>4986655</wp:posOffset>
          </wp:positionH>
          <wp:positionV relativeFrom="paragraph">
            <wp:posOffset>-160020</wp:posOffset>
          </wp:positionV>
          <wp:extent cx="1647190" cy="112903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47190" cy="1129030"/>
                  </a:xfrm>
                  <a:prstGeom prst="rect">
                    <a:avLst/>
                  </a:prstGeom>
                  <a:ln/>
                </pic:spPr>
              </pic:pic>
            </a:graphicData>
          </a:graphic>
        </wp:anchor>
      </w:drawing>
    </w:r>
    <w:r w:rsidRPr="00373D91">
      <w:rPr>
        <w:noProof/>
        <w:lang w:val="fr-FR"/>
      </w:rPr>
      <w:drawing>
        <wp:anchor distT="0" distB="0" distL="114300" distR="114300" simplePos="0" relativeHeight="251663360" behindDoc="0" locked="0" layoutInCell="1" hidden="0" allowOverlap="1" wp14:anchorId="1FCBF3C5" wp14:editId="6E53A1E8">
          <wp:simplePos x="0" y="0"/>
          <wp:positionH relativeFrom="margin">
            <wp:posOffset>-786863</wp:posOffset>
          </wp:positionH>
          <wp:positionV relativeFrom="paragraph">
            <wp:posOffset>149860</wp:posOffset>
          </wp:positionV>
          <wp:extent cx="2883535" cy="589915"/>
          <wp:effectExtent l="0" t="0" r="0" b="635"/>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
                  <a:srcRect/>
                  <a:stretch>
                    <a:fillRect/>
                  </a:stretch>
                </pic:blipFill>
                <pic:spPr>
                  <a:xfrm>
                    <a:off x="0" y="0"/>
                    <a:ext cx="2883535" cy="589915"/>
                  </a:xfrm>
                  <a:prstGeom prst="rect">
                    <a:avLst/>
                  </a:prstGeom>
                  <a:ln/>
                </pic:spPr>
              </pic:pic>
            </a:graphicData>
          </a:graphic>
        </wp:anchor>
      </w:drawing>
    </w:r>
    <w:r>
      <w:rPr>
        <w:noProof/>
        <w:lang w:val="fr-FR"/>
      </w:rPr>
      <w:drawing>
        <wp:anchor distT="0" distB="0" distL="114300" distR="114300" simplePos="0" relativeHeight="251660288" behindDoc="0" locked="0" layoutInCell="1" hidden="0" allowOverlap="1" wp14:anchorId="19773D37" wp14:editId="0E742B3E">
          <wp:simplePos x="0" y="0"/>
          <wp:positionH relativeFrom="column">
            <wp:posOffset>314325</wp:posOffset>
          </wp:positionH>
          <wp:positionV relativeFrom="paragraph">
            <wp:posOffset>-3667122</wp:posOffset>
          </wp:positionV>
          <wp:extent cx="5760720" cy="569595"/>
          <wp:effectExtent l="0" t="0" r="0" b="0"/>
          <wp:wrapNone/>
          <wp:docPr id="15" name="image2.jpg" descr="https://www.univ-rennes1.fr/sites/www.univ-rennes1.fr/files/styles/asset_image_full/public/assets/images/logos-bandeau-educ.jpg?itok=z2It38lY"/>
          <wp:cNvGraphicFramePr/>
          <a:graphic xmlns:a="http://schemas.openxmlformats.org/drawingml/2006/main">
            <a:graphicData uri="http://schemas.openxmlformats.org/drawingml/2006/picture">
              <pic:pic xmlns:pic="http://schemas.openxmlformats.org/drawingml/2006/picture">
                <pic:nvPicPr>
                  <pic:cNvPr id="0" name="image2.jpg" descr="https://www.univ-rennes1.fr/sites/www.univ-rennes1.fr/files/styles/asset_image_full/public/assets/images/logos-bandeau-educ.jpg?itok=z2It38lY"/>
                  <pic:cNvPicPr preferRelativeResize="0"/>
                </pic:nvPicPr>
                <pic:blipFill>
                  <a:blip r:embed="rId4"/>
                  <a:srcRect/>
                  <a:stretch>
                    <a:fillRect/>
                  </a:stretch>
                </pic:blipFill>
                <pic:spPr>
                  <a:xfrm>
                    <a:off x="0" y="0"/>
                    <a:ext cx="5760720" cy="569595"/>
                  </a:xfrm>
                  <a:prstGeom prst="rect">
                    <a:avLst/>
                  </a:prstGeom>
                  <a:ln/>
                </pic:spPr>
              </pic:pic>
            </a:graphicData>
          </a:graphic>
        </wp:anchor>
      </w:drawing>
    </w:r>
    <w:r>
      <w:rPr>
        <w:noProof/>
        <w:lang w:val="fr-FR"/>
      </w:rPr>
      <w:drawing>
        <wp:anchor distT="0" distB="0" distL="114300" distR="114300" simplePos="0" relativeHeight="251661312" behindDoc="0" locked="0" layoutInCell="1" hidden="0" allowOverlap="1" wp14:anchorId="19ABAF36" wp14:editId="6A6D5B3E">
          <wp:simplePos x="0" y="0"/>
          <wp:positionH relativeFrom="column">
            <wp:posOffset>591061</wp:posOffset>
          </wp:positionH>
          <wp:positionV relativeFrom="paragraph">
            <wp:posOffset>-3208710</wp:posOffset>
          </wp:positionV>
          <wp:extent cx="6588760" cy="650875"/>
          <wp:effectExtent l="0" t="0" r="0" b="0"/>
          <wp:wrapNone/>
          <wp:docPr id="13" name="image2.jpg" descr="https://www.univ-rennes1.fr/sites/www.univ-rennes1.fr/files/styles/asset_image_full/public/assets/images/logos-bandeau-educ.jpg?itok=z2It38lY"/>
          <wp:cNvGraphicFramePr/>
          <a:graphic xmlns:a="http://schemas.openxmlformats.org/drawingml/2006/main">
            <a:graphicData uri="http://schemas.openxmlformats.org/drawingml/2006/picture">
              <pic:pic xmlns:pic="http://schemas.openxmlformats.org/drawingml/2006/picture">
                <pic:nvPicPr>
                  <pic:cNvPr id="0" name="image2.jpg" descr="https://www.univ-rennes1.fr/sites/www.univ-rennes1.fr/files/styles/asset_image_full/public/assets/images/logos-bandeau-educ.jpg?itok=z2It38lY"/>
                  <pic:cNvPicPr preferRelativeResize="0"/>
                </pic:nvPicPr>
                <pic:blipFill>
                  <a:blip r:embed="rId4"/>
                  <a:srcRect/>
                  <a:stretch>
                    <a:fillRect/>
                  </a:stretch>
                </pic:blipFill>
                <pic:spPr>
                  <a:xfrm>
                    <a:off x="0" y="0"/>
                    <a:ext cx="6588760" cy="650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1F75"/>
    <w:multiLevelType w:val="multilevel"/>
    <w:tmpl w:val="1D64C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571AA5"/>
    <w:multiLevelType w:val="multilevel"/>
    <w:tmpl w:val="E152AF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6708BE"/>
    <w:multiLevelType w:val="multilevel"/>
    <w:tmpl w:val="42AC1D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D58B1"/>
    <w:multiLevelType w:val="multilevel"/>
    <w:tmpl w:val="7D2EE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B54725"/>
    <w:multiLevelType w:val="multilevel"/>
    <w:tmpl w:val="0DDE7A4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5D4602C6"/>
    <w:multiLevelType w:val="multilevel"/>
    <w:tmpl w:val="4290F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D8A34E6"/>
    <w:multiLevelType w:val="multilevel"/>
    <w:tmpl w:val="36ACC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D97D9D"/>
    <w:multiLevelType w:val="multilevel"/>
    <w:tmpl w:val="7D1C183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6B846F74"/>
    <w:multiLevelType w:val="multilevel"/>
    <w:tmpl w:val="F198D3A8"/>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6DB46B75"/>
    <w:multiLevelType w:val="multilevel"/>
    <w:tmpl w:val="7640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9"/>
  </w:num>
  <w:num w:numId="4">
    <w:abstractNumId w:val="1"/>
  </w:num>
  <w:num w:numId="5">
    <w:abstractNumId w:val="3"/>
  </w:num>
  <w:num w:numId="6">
    <w:abstractNumId w:val="6"/>
  </w:num>
  <w:num w:numId="7">
    <w:abstractNumId w:val="7"/>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260"/>
    <w:rsid w:val="00226C71"/>
    <w:rsid w:val="00373D91"/>
    <w:rsid w:val="004F241E"/>
    <w:rsid w:val="0054293B"/>
    <w:rsid w:val="005933E9"/>
    <w:rsid w:val="006251B7"/>
    <w:rsid w:val="006251DB"/>
    <w:rsid w:val="006A4FCE"/>
    <w:rsid w:val="006D5278"/>
    <w:rsid w:val="00872611"/>
    <w:rsid w:val="008D6F13"/>
    <w:rsid w:val="00A721BD"/>
    <w:rsid w:val="00BE2B50"/>
    <w:rsid w:val="00C466BC"/>
    <w:rsid w:val="00CB362B"/>
    <w:rsid w:val="00CF2C26"/>
    <w:rsid w:val="00D37260"/>
    <w:rsid w:val="00D434F2"/>
    <w:rsid w:val="00D72795"/>
    <w:rsid w:val="00E267C9"/>
    <w:rsid w:val="00E5433B"/>
    <w:rsid w:val="00F641B1"/>
    <w:rsid w:val="00F84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6DDF"/>
  <w15:docId w15:val="{1CA71EED-C6B2-44B7-931D-79B631D7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019"/>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Corpsdetexte"/>
    <w:qFormat/>
    <w:pPr>
      <w:keepNext/>
      <w:spacing w:before="240" w:after="120"/>
    </w:pPr>
    <w:rPr>
      <w:rFonts w:ascii="Arial" w:eastAsia="Microsoft YaHei" w:hAnsi="Arial" w:cs="Arial"/>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En-tteCar">
    <w:name w:val="En-tête Car"/>
    <w:basedOn w:val="Policepardfaut"/>
    <w:uiPriority w:val="99"/>
    <w:qFormat/>
    <w:rsid w:val="008D072F"/>
  </w:style>
  <w:style w:type="character" w:customStyle="1" w:styleId="PieddepageCar">
    <w:name w:val="Pied de page Car"/>
    <w:basedOn w:val="Policepardfaut"/>
    <w:link w:val="Pieddepage"/>
    <w:uiPriority w:val="99"/>
    <w:qFormat/>
    <w:rsid w:val="008D072F"/>
  </w:style>
  <w:style w:type="character" w:styleId="Marquedecommentaire">
    <w:name w:val="annotation reference"/>
    <w:basedOn w:val="Policepardfaut"/>
    <w:uiPriority w:val="99"/>
    <w:semiHidden/>
    <w:unhideWhenUsed/>
    <w:qFormat/>
    <w:rsid w:val="00F45DF3"/>
    <w:rPr>
      <w:sz w:val="16"/>
      <w:szCs w:val="16"/>
    </w:rPr>
  </w:style>
  <w:style w:type="character" w:customStyle="1" w:styleId="CommentaireCar">
    <w:name w:val="Commentaire Car"/>
    <w:basedOn w:val="Policepardfaut"/>
    <w:link w:val="Commentaire"/>
    <w:uiPriority w:val="99"/>
    <w:qFormat/>
    <w:rsid w:val="00F45DF3"/>
    <w:rPr>
      <w:rFonts w:ascii="Calibri" w:eastAsia="Calibri" w:hAnsi="Calibri" w:cs="Calibri"/>
      <w:sz w:val="20"/>
      <w:szCs w:val="20"/>
      <w:lang w:val="en-US" w:eastAsia="fr-FR"/>
    </w:rPr>
  </w:style>
  <w:style w:type="character" w:customStyle="1" w:styleId="ObjetducommentaireCar">
    <w:name w:val="Objet du commentaire Car"/>
    <w:basedOn w:val="CommentaireCar"/>
    <w:link w:val="Objetducommentaire"/>
    <w:uiPriority w:val="99"/>
    <w:semiHidden/>
    <w:qFormat/>
    <w:rsid w:val="00F45DF3"/>
    <w:rPr>
      <w:rFonts w:ascii="Calibri" w:eastAsia="Calibri" w:hAnsi="Calibri" w:cs="Calibri"/>
      <w:b/>
      <w:bCs/>
      <w:sz w:val="20"/>
      <w:szCs w:val="20"/>
      <w:lang w:val="en-US" w:eastAsia="fr-FR"/>
    </w:rPr>
  </w:style>
  <w:style w:type="character" w:customStyle="1" w:styleId="TextedebullesCar">
    <w:name w:val="Texte de bulles Car"/>
    <w:basedOn w:val="Policepardfaut"/>
    <w:link w:val="Textedebulles"/>
    <w:uiPriority w:val="99"/>
    <w:semiHidden/>
    <w:qFormat/>
    <w:rsid w:val="000A7DCA"/>
    <w:rPr>
      <w:rFonts w:ascii="Segoe UI" w:eastAsia="Calibri" w:hAnsi="Segoe UI" w:cs="Segoe UI"/>
      <w:sz w:val="18"/>
      <w:szCs w:val="18"/>
      <w:lang w:val="en-US" w:eastAsia="fr-FR"/>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Calibri"/>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008D072F"/>
    <w:pPr>
      <w:tabs>
        <w:tab w:val="center" w:pos="4536"/>
        <w:tab w:val="right" w:pos="9072"/>
      </w:tabs>
      <w:spacing w:after="0" w:line="240" w:lineRule="auto"/>
    </w:pPr>
  </w:style>
  <w:style w:type="paragraph" w:styleId="Pieddepage">
    <w:name w:val="footer"/>
    <w:basedOn w:val="Normal"/>
    <w:link w:val="PieddepageCar"/>
    <w:uiPriority w:val="99"/>
    <w:unhideWhenUsed/>
    <w:rsid w:val="008D072F"/>
    <w:pPr>
      <w:tabs>
        <w:tab w:val="center" w:pos="4536"/>
        <w:tab w:val="right" w:pos="9072"/>
      </w:tabs>
      <w:spacing w:after="0" w:line="240" w:lineRule="auto"/>
    </w:pPr>
  </w:style>
  <w:style w:type="paragraph" w:styleId="Paragraphedeliste">
    <w:name w:val="List Paragraph"/>
    <w:basedOn w:val="Normal"/>
    <w:uiPriority w:val="34"/>
    <w:qFormat/>
    <w:rsid w:val="00DF46A5"/>
    <w:pPr>
      <w:ind w:left="720"/>
      <w:contextualSpacing/>
    </w:pPr>
  </w:style>
  <w:style w:type="paragraph" w:styleId="Commentaire">
    <w:name w:val="annotation text"/>
    <w:basedOn w:val="Normal"/>
    <w:link w:val="CommentaireCar"/>
    <w:uiPriority w:val="99"/>
    <w:unhideWhenUsed/>
    <w:qFormat/>
    <w:rsid w:val="00F45DF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F45DF3"/>
    <w:rPr>
      <w:b/>
      <w:bCs/>
    </w:rPr>
  </w:style>
  <w:style w:type="paragraph" w:styleId="Textedebulles">
    <w:name w:val="Balloon Text"/>
    <w:basedOn w:val="Normal"/>
    <w:link w:val="TextedebullesCar"/>
    <w:uiPriority w:val="99"/>
    <w:semiHidden/>
    <w:unhideWhenUsed/>
    <w:qFormat/>
    <w:rsid w:val="000A7DCA"/>
    <w:pPr>
      <w:spacing w:after="0" w:line="240" w:lineRule="auto"/>
    </w:pPr>
    <w:rPr>
      <w:rFonts w:ascii="Segoe UI" w:hAnsi="Segoe UI" w:cs="Segoe UI"/>
      <w:sz w:val="18"/>
      <w:szCs w:val="18"/>
    </w:rPr>
  </w:style>
  <w:style w:type="paragraph" w:styleId="Notedebasdepage">
    <w:name w:val="footnote text"/>
    <w:basedOn w:val="Normal"/>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character" w:styleId="lev">
    <w:name w:val="Strong"/>
    <w:basedOn w:val="Policepardfaut"/>
    <w:uiPriority w:val="22"/>
    <w:qFormat/>
    <w:rsid w:val="008D6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69101">
      <w:bodyDiv w:val="1"/>
      <w:marLeft w:val="0"/>
      <w:marRight w:val="0"/>
      <w:marTop w:val="0"/>
      <w:marBottom w:val="0"/>
      <w:divBdr>
        <w:top w:val="none" w:sz="0" w:space="0" w:color="auto"/>
        <w:left w:val="none" w:sz="0" w:space="0" w:color="auto"/>
        <w:bottom w:val="none" w:sz="0" w:space="0" w:color="auto"/>
        <w:right w:val="none" w:sz="0" w:space="0" w:color="auto"/>
      </w:divBdr>
    </w:div>
    <w:div w:id="104964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jbMa3ZcDiW73lURVMojLBfJvQ==">CgMxLjAyCGguZ2pkZ3hzMg5oLjE0YW1wdzd2cjNkdDIOaC5sN2tjdTVlY2phcjg4AHIhMWpjdXBVZlktOEpJQWxmckJ4S3FQN2RjSG93SnNsd2h2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1778</Words>
  <Characters>9780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Pirodeau Marine</dc:creator>
  <cp:lastModifiedBy>Poree Coline</cp:lastModifiedBy>
  <cp:revision>20</cp:revision>
  <cp:lastPrinted>2024-02-08T12:51:00Z</cp:lastPrinted>
  <dcterms:created xsi:type="dcterms:W3CDTF">2021-12-06T13:08:00Z</dcterms:created>
  <dcterms:modified xsi:type="dcterms:W3CDTF">2024-02-08T12:53:00Z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Paris Ouest Nanterre La Défense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0x010100692776EF4CF65E4F8BE0268A35527AC0</vt:lpwstr>
  </property>
</Properties>
</file>